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8615F" w:rsidRDefault="005F11DB" w:rsidP="005F11DB">
      <w:pPr>
        <w:spacing w:after="0" w:line="360" w:lineRule="auto"/>
        <w:jc w:val="both"/>
        <w:rPr>
          <w:rFonts w:ascii="Palatino Linotype" w:hAnsi="Palatino Linotype" w:cs="Arial"/>
          <w:b/>
          <w:sz w:val="24"/>
          <w:szCs w:val="24"/>
        </w:rPr>
      </w:pPr>
      <w:r w:rsidRPr="0068615F">
        <w:rPr>
          <w:rFonts w:ascii="Palatino Linotype" w:hAnsi="Palatino Linotype" w:cs="Arial"/>
          <w:b/>
          <w:sz w:val="24"/>
          <w:szCs w:val="24"/>
        </w:rPr>
        <w:t xml:space="preserve">VOTO PARTICULAR DEL COMISIONADO JOSÉ GUADALUPE LUNA HERNÁNDEZ EN EL RECURSO DE REVISIÓN </w:t>
      </w:r>
      <w:r w:rsidR="00FA35A6" w:rsidRPr="0068615F">
        <w:rPr>
          <w:rFonts w:ascii="Palatino Linotype" w:hAnsi="Palatino Linotype" w:cs="Arial"/>
          <w:b/>
          <w:sz w:val="24"/>
          <w:szCs w:val="24"/>
        </w:rPr>
        <w:t>04012/INFOEM/IP/RR/2018 y 04063/INFOEM/IP/RR/2018 acumulados</w:t>
      </w:r>
      <w:r w:rsidRPr="0068615F">
        <w:rPr>
          <w:rFonts w:ascii="Palatino Linotype" w:hAnsi="Palatino Linotype" w:cs="Arial"/>
          <w:b/>
          <w:sz w:val="24"/>
          <w:szCs w:val="24"/>
        </w:rPr>
        <w:t>.</w:t>
      </w:r>
    </w:p>
    <w:p w:rsidR="005F11DB" w:rsidRPr="0068615F" w:rsidRDefault="005F11DB" w:rsidP="005F11DB">
      <w:pPr>
        <w:spacing w:after="0" w:line="360" w:lineRule="auto"/>
        <w:jc w:val="both"/>
        <w:rPr>
          <w:rFonts w:ascii="Palatino Linotype" w:hAnsi="Palatino Linotype" w:cs="Arial"/>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La falta de impugnación respecto al resto de los requerimientos que no fueron manifestados en el recurso de revisión, no debe entenderse como actos consentidos.</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La figura de actos consentidos no debe ser invocada en el derecho humano fundamental de acceder a la información pública gubernamental.</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El Órgano Garante del derecho de acceso a la información pública no debe imponerles las cargas formales del proceso jurisdiccional a los particulares.</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Lo que este Órgano Garante realice en materia de suplencia de la queja no afecta la igualdad de las partes sino procura el cumplimiento de los deberes de protección del derecho humano.</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5F11DB" w:rsidRPr="0068615F" w:rsidRDefault="005F11DB" w:rsidP="005F11DB">
      <w:pPr>
        <w:tabs>
          <w:tab w:val="left" w:pos="922"/>
        </w:tabs>
        <w:spacing w:after="0" w:line="360" w:lineRule="auto"/>
        <w:jc w:val="both"/>
        <w:rPr>
          <w:rFonts w:ascii="Palatino Linotype" w:hAnsi="Palatino Linotype" w:cs="Arial"/>
          <w:i/>
          <w:szCs w:val="24"/>
        </w:rPr>
      </w:pPr>
      <w:r w:rsidRPr="0068615F">
        <w:rPr>
          <w:rFonts w:ascii="Palatino Linotype" w:hAnsi="Palatino Linotype" w:cs="Arial"/>
          <w:i/>
          <w:szCs w:val="24"/>
        </w:rPr>
        <w:tab/>
      </w: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Los órganos del Estado, tienen el deber que tienen dentro del margen de sus atribuciones, de prevenir violaciones a los derechos fundamentales.</w:t>
      </w:r>
    </w:p>
    <w:p w:rsidR="005F11DB" w:rsidRPr="0068615F" w:rsidRDefault="005F11DB" w:rsidP="005F11DB">
      <w:pPr>
        <w:spacing w:after="0" w:line="360" w:lineRule="auto"/>
        <w:jc w:val="center"/>
        <w:rPr>
          <w:rFonts w:ascii="Palatino Linotype" w:hAnsi="Palatino Linotype" w:cs="Arial"/>
          <w:b/>
          <w:sz w:val="24"/>
          <w:szCs w:val="24"/>
        </w:rPr>
      </w:pPr>
    </w:p>
    <w:p w:rsidR="00FA35A6" w:rsidRPr="0068615F" w:rsidRDefault="00FA35A6" w:rsidP="005F11DB">
      <w:pPr>
        <w:spacing w:after="0" w:line="360" w:lineRule="auto"/>
        <w:jc w:val="center"/>
        <w:rPr>
          <w:rFonts w:ascii="Palatino Linotype" w:hAnsi="Palatino Linotype" w:cs="Arial"/>
          <w:b/>
          <w:sz w:val="24"/>
          <w:szCs w:val="24"/>
        </w:rPr>
      </w:pPr>
    </w:p>
    <w:p w:rsidR="005F11DB" w:rsidRPr="0068615F" w:rsidRDefault="005F11DB" w:rsidP="005F11DB">
      <w:pPr>
        <w:spacing w:after="0" w:line="360" w:lineRule="auto"/>
        <w:jc w:val="center"/>
        <w:rPr>
          <w:rFonts w:ascii="Palatino Linotype" w:hAnsi="Palatino Linotype" w:cs="Arial"/>
          <w:b/>
          <w:sz w:val="24"/>
          <w:szCs w:val="24"/>
        </w:rPr>
      </w:pPr>
      <w:r w:rsidRPr="0068615F">
        <w:rPr>
          <w:rFonts w:ascii="Palatino Linotype" w:hAnsi="Palatino Linotype" w:cs="Arial"/>
          <w:b/>
          <w:sz w:val="24"/>
          <w:szCs w:val="24"/>
        </w:rPr>
        <w:lastRenderedPageBreak/>
        <w:t>Índice</w:t>
      </w:r>
    </w:p>
    <w:p w:rsidR="005F11DB" w:rsidRPr="0068615F" w:rsidRDefault="005F11DB" w:rsidP="005F11DB">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C81948" w:rsidRPr="0068615F" w:rsidRDefault="005F11DB" w:rsidP="00C81948">
          <w:pPr>
            <w:pStyle w:val="TDC1"/>
            <w:tabs>
              <w:tab w:val="right" w:leader="dot" w:pos="8828"/>
            </w:tabs>
            <w:spacing w:line="480" w:lineRule="auto"/>
            <w:rPr>
              <w:rFonts w:ascii="Palatino Linotype" w:eastAsiaTheme="minorEastAsia" w:hAnsi="Palatino Linotype"/>
              <w:noProof/>
              <w:sz w:val="24"/>
              <w:lang w:eastAsia="es-MX"/>
            </w:rPr>
          </w:pPr>
          <w:r w:rsidRPr="0068615F">
            <w:rPr>
              <w:rFonts w:ascii="Palatino Linotype" w:eastAsiaTheme="majorEastAsia" w:hAnsi="Palatino Linotype" w:cstheme="majorBidi"/>
              <w:color w:val="000000" w:themeColor="text1"/>
              <w:sz w:val="24"/>
              <w:szCs w:val="24"/>
              <w:lang w:eastAsia="es-MX"/>
            </w:rPr>
            <w:fldChar w:fldCharType="begin"/>
          </w:r>
          <w:r w:rsidRPr="0068615F">
            <w:rPr>
              <w:rFonts w:ascii="Palatino Linotype" w:hAnsi="Palatino Linotype"/>
              <w:color w:val="000000" w:themeColor="text1"/>
              <w:sz w:val="24"/>
              <w:szCs w:val="24"/>
            </w:rPr>
            <w:instrText xml:space="preserve"> TOC \o "1-3" \h \z \u </w:instrText>
          </w:r>
          <w:r w:rsidRPr="0068615F">
            <w:rPr>
              <w:rFonts w:ascii="Palatino Linotype" w:eastAsiaTheme="majorEastAsia" w:hAnsi="Palatino Linotype" w:cstheme="majorBidi"/>
              <w:color w:val="000000" w:themeColor="text1"/>
              <w:sz w:val="24"/>
              <w:szCs w:val="24"/>
              <w:lang w:eastAsia="es-MX"/>
            </w:rPr>
            <w:fldChar w:fldCharType="separate"/>
          </w:r>
          <w:hyperlink w:anchor="_Toc482005019" w:history="1">
            <w:r w:rsidR="00C81948" w:rsidRPr="0068615F">
              <w:rPr>
                <w:rStyle w:val="Hipervnculo"/>
                <w:rFonts w:ascii="Palatino Linotype" w:hAnsi="Palatino Linotype"/>
                <w:b/>
                <w:noProof/>
                <w:sz w:val="24"/>
              </w:rPr>
              <w:t>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Consideraciones Generales</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_Toc482005019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2C3A30">
              <w:rPr>
                <w:rFonts w:ascii="Palatino Linotype" w:hAnsi="Palatino Linotype"/>
                <w:noProof/>
                <w:webHidden/>
                <w:sz w:val="24"/>
              </w:rPr>
              <w:t>3</w:t>
            </w:r>
            <w:r w:rsidR="00C81948" w:rsidRPr="0068615F">
              <w:rPr>
                <w:rFonts w:ascii="Palatino Linotype" w:hAnsi="Palatino Linotype"/>
                <w:noProof/>
                <w:webHidden/>
                <w:sz w:val="24"/>
              </w:rPr>
              <w:fldChar w:fldCharType="end"/>
            </w:r>
          </w:hyperlink>
        </w:p>
        <w:p w:rsidR="00C81948" w:rsidRPr="0068615F" w:rsidRDefault="00274496"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0" w:history="1">
            <w:r w:rsidR="00C81948" w:rsidRPr="0068615F">
              <w:rPr>
                <w:rStyle w:val="Hipervnculo"/>
                <w:rFonts w:ascii="Palatino Linotype" w:hAnsi="Palatino Linotype"/>
                <w:b/>
                <w:noProof/>
                <w:sz w:val="24"/>
              </w:rPr>
              <w:t>II.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De los requerimientos planteados en el recurso de revisión.</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_Toc482005020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2C3A30">
              <w:rPr>
                <w:rFonts w:ascii="Palatino Linotype" w:hAnsi="Palatino Linotype"/>
                <w:noProof/>
                <w:webHidden/>
                <w:sz w:val="24"/>
              </w:rPr>
              <w:t>5</w:t>
            </w:r>
            <w:r w:rsidR="00C81948" w:rsidRPr="0068615F">
              <w:rPr>
                <w:rFonts w:ascii="Palatino Linotype" w:hAnsi="Palatino Linotype"/>
                <w:noProof/>
                <w:webHidden/>
                <w:sz w:val="24"/>
              </w:rPr>
              <w:fldChar w:fldCharType="end"/>
            </w:r>
          </w:hyperlink>
        </w:p>
        <w:p w:rsidR="00C81948" w:rsidRPr="0068615F" w:rsidRDefault="00274496"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1" w:history="1">
            <w:r w:rsidR="00C81948" w:rsidRPr="0068615F">
              <w:rPr>
                <w:rStyle w:val="Hipervnculo"/>
                <w:rFonts w:ascii="Palatino Linotype" w:hAnsi="Palatino Linotype"/>
                <w:b/>
                <w:noProof/>
                <w:sz w:val="24"/>
              </w:rPr>
              <w:t>III.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Los actos consentidos no deben invocarse en el derecho fundamental de acceder a la información pública gubernamental.</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_Toc482005021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2C3A30">
              <w:rPr>
                <w:rFonts w:ascii="Palatino Linotype" w:hAnsi="Palatino Linotype"/>
                <w:noProof/>
                <w:webHidden/>
                <w:sz w:val="24"/>
              </w:rPr>
              <w:t>7</w:t>
            </w:r>
            <w:r w:rsidR="00C81948" w:rsidRPr="0068615F">
              <w:rPr>
                <w:rFonts w:ascii="Palatino Linotype" w:hAnsi="Palatino Linotype"/>
                <w:noProof/>
                <w:webHidden/>
                <w:sz w:val="24"/>
              </w:rPr>
              <w:fldChar w:fldCharType="end"/>
            </w:r>
          </w:hyperlink>
        </w:p>
        <w:p w:rsidR="005F11DB" w:rsidRPr="0068615F" w:rsidRDefault="00A878C0" w:rsidP="00C81948">
          <w:pPr>
            <w:spacing w:line="480" w:lineRule="auto"/>
            <w:rPr>
              <w:rFonts w:ascii="Palatino Linotype" w:hAnsi="Palatino Linotype"/>
            </w:rPr>
          </w:pPr>
          <w:r w:rsidRPr="0068615F">
            <w:rPr>
              <w:rFonts w:ascii="Palatino Linotype" w:hAnsi="Palatino Linotype"/>
              <w:noProof/>
              <w:sz w:val="28"/>
              <w:szCs w:val="24"/>
              <w:lang w:eastAsia="es-MX"/>
            </w:rPr>
            <mc:AlternateContent>
              <mc:Choice Requires="wps">
                <w:drawing>
                  <wp:anchor distT="0" distB="0" distL="114300" distR="114300" simplePos="0" relativeHeight="251659264" behindDoc="0" locked="0" layoutInCell="1" allowOverlap="1" wp14:anchorId="05B7652C" wp14:editId="67B10826">
                    <wp:simplePos x="0" y="0"/>
                    <wp:positionH relativeFrom="column">
                      <wp:posOffset>64267</wp:posOffset>
                    </wp:positionH>
                    <wp:positionV relativeFrom="paragraph">
                      <wp:posOffset>98164</wp:posOffset>
                    </wp:positionV>
                    <wp:extent cx="5503230" cy="2956373"/>
                    <wp:effectExtent l="0" t="0" r="21590" b="34925"/>
                    <wp:wrapNone/>
                    <wp:docPr id="1" name="Conector recto 1"/>
                    <wp:cNvGraphicFramePr/>
                    <a:graphic xmlns:a="http://schemas.openxmlformats.org/drawingml/2006/main">
                      <a:graphicData uri="http://schemas.microsoft.com/office/word/2010/wordprocessingShape">
                        <wps:wsp>
                          <wps:cNvCnPr/>
                          <wps:spPr>
                            <a:xfrm>
                              <a:off x="0" y="0"/>
                              <a:ext cx="5503230" cy="295637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6B3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7.75pt" to="438.4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G/yAEAAOADAAAOAAAAZHJzL2Uyb0RvYy54bWysU9uO0zAQfUfiHyy/06StukDUdB9awQuC&#10;issHeJ1xY+GbxqZJ/56x02YRIIRW+zKxx3POzJmZbO9Ha9gZMGrvWr5c1JyBk77T7tTyb1/fvXrD&#10;WUzCdcJ4By2/QOT3u5cvtkNoYOV7bzpARiQuNkNoeZ9SaKoqyh6siAsfwNGj8mhFoiueqg7FQOzW&#10;VKu6vqsGj11ALyFG8h6mR74r/EqBTJ+UipCYaTnVlorFYh+yrXZb0ZxQhF7LaxniCVVYoR0lnakO&#10;Ign2A/UfVFZL9NGrtJDeVl4pLaFoIDXL+jc1X3oRoGih5sQwtyk+H638eD4i0x3NjjMnLI1oT4OS&#10;ySPD/GHL3KMhxIZC9+6I11sMR8yCR4U2f0kKG0tfL3NfYUxMknOzqderNbVf0tvq7eZu/XqdWatH&#10;eMCY3oO3LB9abrTLwkUjzh9imkJvIdltXLbZcxCxZ2dB4zWnfL7y5oAqVz3VWU7pYmACfwZFmqmy&#10;ZUlStg32Biei7nvRTNUZR5EZorQxM6j+N+gam2FQNvB/gXN0yehdmoFWO49/y5rGW6lqir+pnrRm&#10;2Q++u5SplXbQGpW+X1c+7+mv9wJ//DF3PwEAAP//AwBQSwMEFAAGAAgAAAAhAONvJ7DdAAAACQEA&#10;AA8AAABkcnMvZG93bnJldi54bWxMj8FOwzAQRO9I/IO1SNyobUSDG+JUCIFAiEsKhx7d2CQR9jqK&#10;3Sb8PcsJTqvRjGbfVNsleHZyUxoiapArAcxhG+2AnYaP96crBSxlg9b4iE7Dt0uwrc/PKlPaOGPj&#10;TrvcMSrBVBoNfc5jyXlqexdMWsXRIXmfcQomk5w6biczU3nw/FqIggczIH3ozegeetd+7Y5Bw6hm&#10;Kd6U5+lVLo8vz01sis1e68uL5f4OWHZL/gvDLz6hQ01Mh3hEm5gnLSQl6a7XwMhXtwVNOWi4UVIC&#10;ryv+f0H9AwAA//8DAFBLAQItABQABgAIAAAAIQC2gziS/gAAAOEBAAATAAAAAAAAAAAAAAAAAAAA&#10;AABbQ29udGVudF9UeXBlc10ueG1sUEsBAi0AFAAGAAgAAAAhADj9If/WAAAAlAEAAAsAAAAAAAAA&#10;AAAAAAAALwEAAF9yZWxzLy5yZWxzUEsBAi0AFAAGAAgAAAAhAJuNUb/IAQAA4AMAAA4AAAAAAAAA&#10;AAAAAAAALgIAAGRycy9lMm9Eb2MueG1sUEsBAi0AFAAGAAgAAAAhAONvJ7DdAAAACQEAAA8AAAAA&#10;AAAAAAAAAAAAIgQAAGRycy9kb3ducmV2LnhtbFBLBQYAAAAABAAEAPMAAAAsBQAAAAA=&#10;" strokecolor="black [3200]" strokeweight=".5pt">
                    <v:stroke dashstyle="longDash" joinstyle="miter"/>
                  </v:line>
                </w:pict>
              </mc:Fallback>
            </mc:AlternateContent>
          </w:r>
          <w:r w:rsidR="005F11DB" w:rsidRPr="0068615F">
            <w:rPr>
              <w:rFonts w:ascii="Palatino Linotype" w:hAnsi="Palatino Linotype"/>
              <w:b/>
              <w:bCs/>
              <w:color w:val="000000" w:themeColor="text1"/>
              <w:sz w:val="24"/>
              <w:szCs w:val="24"/>
              <w:lang w:val="es-ES"/>
            </w:rPr>
            <w:fldChar w:fldCharType="end"/>
          </w:r>
        </w:p>
      </w:sdtContent>
    </w:sdt>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FA35A6" w:rsidRPr="0068615F" w:rsidRDefault="00FA35A6" w:rsidP="005F11DB">
      <w:pPr>
        <w:spacing w:after="0" w:line="360" w:lineRule="auto"/>
        <w:jc w:val="both"/>
        <w:rPr>
          <w:rFonts w:ascii="Palatino Linotype" w:hAnsi="Palatino Linotype" w:cs="Arial"/>
          <w:b/>
          <w:sz w:val="24"/>
          <w:szCs w:val="24"/>
        </w:rPr>
      </w:pPr>
    </w:p>
    <w:p w:rsidR="00FA35A6" w:rsidRPr="0068615F" w:rsidRDefault="00FA35A6" w:rsidP="005F11DB">
      <w:pPr>
        <w:spacing w:after="0" w:line="360" w:lineRule="auto"/>
        <w:jc w:val="both"/>
        <w:rPr>
          <w:rFonts w:ascii="Palatino Linotype" w:hAnsi="Palatino Linotype" w:cs="Arial"/>
          <w:b/>
          <w:sz w:val="24"/>
          <w:szCs w:val="24"/>
        </w:rPr>
      </w:pPr>
    </w:p>
    <w:p w:rsidR="005F11DB" w:rsidRPr="0068615F"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482005019"/>
      <w:r w:rsidRPr="0068615F">
        <w:rPr>
          <w:rFonts w:ascii="Palatino Linotype" w:hAnsi="Palatino Linotype"/>
          <w:b/>
          <w:color w:val="000000" w:themeColor="text1"/>
          <w:sz w:val="24"/>
          <w:szCs w:val="24"/>
        </w:rPr>
        <w:lastRenderedPageBreak/>
        <w:t>Consideraciones Generales</w:t>
      </w:r>
      <w:bookmarkEnd w:id="0"/>
    </w:p>
    <w:p w:rsidR="005F11DB" w:rsidRPr="0068615F" w:rsidRDefault="005F11DB" w:rsidP="005F11DB">
      <w:pPr>
        <w:pStyle w:val="Prrafodelista"/>
        <w:spacing w:after="0" w:line="360" w:lineRule="auto"/>
        <w:ind w:left="1080"/>
        <w:jc w:val="both"/>
        <w:rPr>
          <w:rFonts w:ascii="Palatino Linotype" w:hAnsi="Palatino Linotype" w:cs="Arial"/>
          <w:b/>
          <w:sz w:val="24"/>
          <w:szCs w:val="24"/>
        </w:rPr>
      </w:pPr>
    </w:p>
    <w:p w:rsidR="005F11DB" w:rsidRPr="0068615F" w:rsidRDefault="005F11DB" w:rsidP="005F11DB">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eastAsia="Times New Roman" w:hAnsi="Palatino Linotype" w:cs="Arial"/>
          <w:sz w:val="24"/>
          <w:szCs w:val="24"/>
          <w:lang w:val="es-ES_tradnl"/>
        </w:rPr>
        <w:t xml:space="preserve">He concurrido con mi </w:t>
      </w:r>
      <w:r w:rsidRPr="0068615F">
        <w:rPr>
          <w:rFonts w:ascii="Palatino Linotype" w:eastAsia="Times New Roman" w:hAnsi="Palatino Linotype" w:cs="Arial"/>
          <w:b/>
          <w:sz w:val="24"/>
          <w:szCs w:val="24"/>
          <w:lang w:val="es-ES_tradnl"/>
        </w:rPr>
        <w:t>voto particular</w:t>
      </w:r>
      <w:r w:rsidRPr="0068615F">
        <w:rPr>
          <w:rFonts w:ascii="Palatino Linotype" w:eastAsia="Times New Roman" w:hAnsi="Palatino Linotype" w:cs="Arial"/>
          <w:sz w:val="24"/>
          <w:szCs w:val="24"/>
          <w:lang w:val="es-ES_tradnl"/>
        </w:rPr>
        <w:t xml:space="preserve"> de la presente resolución emitida </w:t>
      </w:r>
      <w:r w:rsidRPr="0068615F">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FA35A6" w:rsidRPr="0068615F">
        <w:rPr>
          <w:rFonts w:ascii="Palatino Linotype" w:hAnsi="Palatino Linotype" w:cs="Arial"/>
          <w:sz w:val="24"/>
          <w:szCs w:val="24"/>
        </w:rPr>
        <w:t>segund</w:t>
      </w:r>
      <w:r w:rsidR="009979C7" w:rsidRPr="0068615F">
        <w:rPr>
          <w:rFonts w:ascii="Palatino Linotype" w:hAnsi="Palatino Linotype" w:cs="Arial"/>
          <w:sz w:val="24"/>
          <w:szCs w:val="24"/>
        </w:rPr>
        <w:t xml:space="preserve">a </w:t>
      </w:r>
      <w:r w:rsidRPr="0068615F">
        <w:rPr>
          <w:rFonts w:ascii="Palatino Linotype" w:hAnsi="Palatino Linotype" w:cs="Arial"/>
          <w:sz w:val="24"/>
          <w:szCs w:val="24"/>
        </w:rPr>
        <w:t>sesión or</w:t>
      </w:r>
      <w:r w:rsidR="00C81948" w:rsidRPr="0068615F">
        <w:rPr>
          <w:rFonts w:ascii="Palatino Linotype" w:hAnsi="Palatino Linotype" w:cs="Arial"/>
          <w:sz w:val="24"/>
          <w:szCs w:val="24"/>
        </w:rPr>
        <w:t>d</w:t>
      </w:r>
      <w:r w:rsidRPr="0068615F">
        <w:rPr>
          <w:rFonts w:ascii="Palatino Linotype" w:hAnsi="Palatino Linotype" w:cs="Arial"/>
          <w:sz w:val="24"/>
          <w:szCs w:val="24"/>
        </w:rPr>
        <w:t>inaría de</w:t>
      </w:r>
      <w:r w:rsidR="00AE09CF" w:rsidRPr="0068615F">
        <w:rPr>
          <w:rFonts w:ascii="Palatino Linotype" w:hAnsi="Palatino Linotype" w:cs="Arial"/>
          <w:sz w:val="24"/>
          <w:szCs w:val="24"/>
        </w:rPr>
        <w:t xml:space="preserve"> fecha</w:t>
      </w:r>
      <w:r w:rsidR="00696770" w:rsidRPr="0068615F">
        <w:rPr>
          <w:rFonts w:ascii="Palatino Linotype" w:hAnsi="Palatino Linotype" w:cs="Arial"/>
          <w:sz w:val="24"/>
          <w:szCs w:val="24"/>
        </w:rPr>
        <w:t xml:space="preserve"> </w:t>
      </w:r>
      <w:r w:rsidR="00FA35A6" w:rsidRPr="0068615F">
        <w:rPr>
          <w:rFonts w:ascii="Palatino Linotype" w:hAnsi="Palatino Linotype" w:cs="Arial"/>
          <w:sz w:val="24"/>
          <w:szCs w:val="24"/>
        </w:rPr>
        <w:t>dieciséis</w:t>
      </w:r>
      <w:r w:rsidRPr="0068615F">
        <w:rPr>
          <w:rFonts w:ascii="Palatino Linotype" w:hAnsi="Palatino Linotype" w:cs="Arial"/>
          <w:sz w:val="24"/>
          <w:szCs w:val="24"/>
        </w:rPr>
        <w:t xml:space="preserve"> </w:t>
      </w:r>
      <w:r w:rsidR="00FA35A6" w:rsidRPr="0068615F">
        <w:rPr>
          <w:rFonts w:ascii="Palatino Linotype" w:hAnsi="Palatino Linotype" w:cs="Arial"/>
          <w:sz w:val="24"/>
          <w:szCs w:val="24"/>
        </w:rPr>
        <w:t>(16</w:t>
      </w:r>
      <w:r w:rsidRPr="0068615F">
        <w:rPr>
          <w:rFonts w:ascii="Palatino Linotype" w:hAnsi="Palatino Linotype" w:cs="Arial"/>
          <w:sz w:val="24"/>
          <w:szCs w:val="24"/>
        </w:rPr>
        <w:t xml:space="preserve">) de </w:t>
      </w:r>
      <w:r w:rsidR="00902DAB" w:rsidRPr="0068615F">
        <w:rPr>
          <w:rFonts w:ascii="Palatino Linotype" w:hAnsi="Palatino Linotype" w:cs="Arial"/>
          <w:sz w:val="24"/>
          <w:szCs w:val="24"/>
        </w:rPr>
        <w:t>e</w:t>
      </w:r>
      <w:r w:rsidR="00FA35A6" w:rsidRPr="0068615F">
        <w:rPr>
          <w:rFonts w:ascii="Palatino Linotype" w:hAnsi="Palatino Linotype" w:cs="Arial"/>
          <w:sz w:val="24"/>
          <w:szCs w:val="24"/>
        </w:rPr>
        <w:t>nero</w:t>
      </w:r>
      <w:r w:rsidR="00D63CE5" w:rsidRPr="0068615F">
        <w:rPr>
          <w:rFonts w:ascii="Palatino Linotype" w:hAnsi="Palatino Linotype" w:cs="Arial"/>
          <w:sz w:val="24"/>
          <w:szCs w:val="24"/>
        </w:rPr>
        <w:t xml:space="preserve"> de dos mil dieciocho</w:t>
      </w:r>
      <w:r w:rsidRPr="0068615F">
        <w:rPr>
          <w:rFonts w:ascii="Palatino Linotype" w:hAnsi="Palatino Linotype" w:cs="Arial"/>
          <w:sz w:val="24"/>
          <w:szCs w:val="24"/>
        </w:rPr>
        <w:t>, en el recurso de revisión promovido en contra de la respuesta del</w:t>
      </w:r>
      <w:r w:rsidRPr="0068615F">
        <w:rPr>
          <w:rFonts w:ascii="Palatino Linotype" w:hAnsi="Palatino Linotype"/>
          <w:sz w:val="24"/>
          <w:szCs w:val="24"/>
        </w:rPr>
        <w:t xml:space="preserve"> </w:t>
      </w:r>
      <w:r w:rsidR="00902DAB" w:rsidRPr="0068615F">
        <w:rPr>
          <w:rFonts w:ascii="Palatino Linotype" w:hAnsi="Palatino Linotype" w:cs="Arial"/>
          <w:b/>
          <w:sz w:val="24"/>
          <w:szCs w:val="24"/>
        </w:rPr>
        <w:t xml:space="preserve">Ayuntamiento de </w:t>
      </w:r>
      <w:r w:rsidR="00445AC0" w:rsidRPr="0068615F">
        <w:rPr>
          <w:rFonts w:ascii="Palatino Linotype" w:hAnsi="Palatino Linotype" w:cs="Arial"/>
          <w:b/>
          <w:sz w:val="24"/>
          <w:szCs w:val="24"/>
        </w:rPr>
        <w:t>Ocoyoacac</w:t>
      </w:r>
      <w:r w:rsidRPr="0068615F">
        <w:rPr>
          <w:rFonts w:ascii="Palatino Linotype" w:hAnsi="Palatino Linotype" w:cs="Arial"/>
          <w:sz w:val="24"/>
          <w:szCs w:val="24"/>
        </w:rPr>
        <w:t xml:space="preserve">, procedimiento al que se le asignó el número de expediente </w:t>
      </w:r>
      <w:r w:rsidR="00FA35A6" w:rsidRPr="0068615F">
        <w:rPr>
          <w:rFonts w:ascii="Palatino Linotype" w:hAnsi="Palatino Linotype"/>
          <w:b/>
          <w:color w:val="000000" w:themeColor="text1"/>
          <w:sz w:val="24"/>
          <w:szCs w:val="24"/>
        </w:rPr>
        <w:t>04012/INFOEM/IP/RR/2018 y 04063/INFOEM/IP/RR/2018 acumulados</w:t>
      </w:r>
      <w:r w:rsidRPr="0068615F">
        <w:rPr>
          <w:rFonts w:ascii="Palatino Linotype" w:hAnsi="Palatino Linotype" w:cs="Arial"/>
          <w:b/>
          <w:sz w:val="24"/>
          <w:szCs w:val="24"/>
        </w:rPr>
        <w:t>.</w:t>
      </w:r>
      <w:r w:rsidRPr="0068615F">
        <w:rPr>
          <w:rFonts w:ascii="Palatino Linotype" w:hAnsi="Palatino Linotype" w:cs="Arial"/>
          <w:sz w:val="24"/>
          <w:szCs w:val="24"/>
        </w:rPr>
        <w:t xml:space="preserve"> </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332616">
      <w:pPr>
        <w:pStyle w:val="Prrafodelista"/>
        <w:numPr>
          <w:ilvl w:val="0"/>
          <w:numId w:val="8"/>
        </w:numPr>
        <w:spacing w:line="360" w:lineRule="auto"/>
        <w:jc w:val="both"/>
        <w:rPr>
          <w:rFonts w:ascii="Palatino Linotype" w:hAnsi="Palatino Linotype" w:cs="Arial"/>
          <w:sz w:val="24"/>
          <w:szCs w:val="24"/>
        </w:rPr>
      </w:pPr>
      <w:r w:rsidRPr="0068615F">
        <w:rPr>
          <w:rFonts w:ascii="Palatino Linotype" w:hAnsi="Palatino Linotype" w:cs="Arial"/>
          <w:sz w:val="24"/>
          <w:szCs w:val="24"/>
        </w:rPr>
        <w:t xml:space="preserve">La resolución determina el </w:t>
      </w:r>
      <w:r w:rsidR="00902DAB" w:rsidRPr="0068615F">
        <w:rPr>
          <w:rFonts w:ascii="Palatino Linotype" w:hAnsi="Palatino Linotype" w:cs="Arial"/>
          <w:b/>
          <w:sz w:val="24"/>
          <w:szCs w:val="24"/>
        </w:rPr>
        <w:t>MODIFICA</w:t>
      </w:r>
      <w:r w:rsidR="00D63CE5" w:rsidRPr="0068615F">
        <w:rPr>
          <w:rFonts w:ascii="Palatino Linotype" w:hAnsi="Palatino Linotype" w:cs="Arial"/>
          <w:b/>
          <w:sz w:val="24"/>
          <w:szCs w:val="24"/>
        </w:rPr>
        <w:t>R</w:t>
      </w:r>
      <w:r w:rsidRPr="0068615F">
        <w:rPr>
          <w:rFonts w:ascii="Palatino Linotype" w:hAnsi="Palatino Linotype" w:cs="Arial"/>
          <w:sz w:val="24"/>
          <w:szCs w:val="24"/>
        </w:rPr>
        <w:t xml:space="preserve"> la respuesta, toda vez que el </w:t>
      </w:r>
      <w:r w:rsidRPr="0068615F">
        <w:rPr>
          <w:rFonts w:ascii="Palatino Linotype" w:hAnsi="Palatino Linotype" w:cs="Arial"/>
          <w:b/>
          <w:sz w:val="24"/>
          <w:szCs w:val="24"/>
        </w:rPr>
        <w:t>SUJETO OBLIGADO</w:t>
      </w:r>
      <w:r w:rsidR="0068615F">
        <w:rPr>
          <w:rFonts w:ascii="Palatino Linotype" w:hAnsi="Palatino Linotype" w:cs="Arial"/>
          <w:sz w:val="24"/>
          <w:szCs w:val="24"/>
        </w:rPr>
        <w:t>, toda vez que colmo</w:t>
      </w:r>
      <w:r w:rsidR="00D63CE5" w:rsidRPr="0068615F">
        <w:rPr>
          <w:rFonts w:ascii="Palatino Linotype" w:hAnsi="Palatino Linotype" w:cs="Arial"/>
          <w:sz w:val="24"/>
          <w:szCs w:val="24"/>
        </w:rPr>
        <w:t xml:space="preserve"> </w:t>
      </w:r>
      <w:r w:rsidR="00902DAB" w:rsidRPr="0068615F">
        <w:rPr>
          <w:rFonts w:ascii="Palatino Linotype" w:hAnsi="Palatino Linotype" w:cs="Arial"/>
          <w:sz w:val="24"/>
          <w:szCs w:val="24"/>
        </w:rPr>
        <w:t xml:space="preserve">parte de </w:t>
      </w:r>
      <w:r w:rsidR="00D63CE5" w:rsidRPr="0068615F">
        <w:rPr>
          <w:rFonts w:ascii="Palatino Linotype" w:hAnsi="Palatino Linotype" w:cs="Arial"/>
          <w:sz w:val="24"/>
          <w:szCs w:val="24"/>
        </w:rPr>
        <w:t>los requerimientos</w:t>
      </w:r>
      <w:r w:rsidR="00AE09CF" w:rsidRPr="0068615F">
        <w:rPr>
          <w:rFonts w:ascii="Palatino Linotype" w:hAnsi="Palatino Linotype" w:cs="Arial"/>
          <w:sz w:val="24"/>
          <w:szCs w:val="24"/>
        </w:rPr>
        <w:t xml:space="preserve"> re</w:t>
      </w:r>
      <w:r w:rsidR="0068615F">
        <w:rPr>
          <w:rFonts w:ascii="Palatino Linotype" w:hAnsi="Palatino Linotype" w:cs="Arial"/>
          <w:sz w:val="24"/>
          <w:szCs w:val="24"/>
        </w:rPr>
        <w:t>queri</w:t>
      </w:r>
      <w:r w:rsidR="00AE09CF" w:rsidRPr="0068615F">
        <w:rPr>
          <w:rFonts w:ascii="Palatino Linotype" w:hAnsi="Palatino Linotype" w:cs="Arial"/>
          <w:sz w:val="24"/>
          <w:szCs w:val="24"/>
        </w:rPr>
        <w:t xml:space="preserve">dos por el particular </w:t>
      </w:r>
      <w:r w:rsidR="00D63CE5" w:rsidRPr="0068615F">
        <w:rPr>
          <w:rFonts w:ascii="Palatino Linotype" w:hAnsi="Palatino Linotype" w:cs="Arial"/>
          <w:sz w:val="24"/>
          <w:szCs w:val="24"/>
        </w:rPr>
        <w:t>en su solicitud de información</w:t>
      </w:r>
      <w:r w:rsidR="00902DAB" w:rsidRPr="0068615F">
        <w:rPr>
          <w:rFonts w:ascii="Palatino Linotype" w:hAnsi="Palatino Linotype" w:cs="Arial"/>
          <w:sz w:val="24"/>
          <w:szCs w:val="24"/>
        </w:rPr>
        <w:t>.</w:t>
      </w:r>
    </w:p>
    <w:p w:rsidR="00756AED" w:rsidRPr="0068615F" w:rsidRDefault="00756AED" w:rsidP="00756AED">
      <w:pPr>
        <w:pStyle w:val="Prrafodelista"/>
        <w:rPr>
          <w:rFonts w:ascii="Palatino Linotype" w:hAnsi="Palatino Linotype" w:cs="Arial"/>
          <w:sz w:val="24"/>
          <w:szCs w:val="24"/>
        </w:rPr>
      </w:pPr>
    </w:p>
    <w:p w:rsidR="009979C7" w:rsidRPr="0068615F" w:rsidRDefault="005F11DB" w:rsidP="00BF3BAD">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cs="Arial"/>
          <w:sz w:val="24"/>
          <w:szCs w:val="24"/>
        </w:rPr>
        <w:t xml:space="preserve">Mi voto particular se deriva del hecho de que </w:t>
      </w:r>
      <w:r w:rsidR="00D63CE5" w:rsidRPr="0068615F">
        <w:rPr>
          <w:rFonts w:ascii="Palatino Linotype" w:hAnsi="Palatino Linotype" w:cs="Arial"/>
          <w:sz w:val="24"/>
          <w:szCs w:val="24"/>
        </w:rPr>
        <w:t>el hoy recurrente</w:t>
      </w:r>
      <w:r w:rsidRPr="0068615F">
        <w:rPr>
          <w:rFonts w:ascii="Palatino Linotype" w:hAnsi="Palatino Linotype" w:cs="Arial"/>
          <w:b/>
          <w:sz w:val="24"/>
          <w:szCs w:val="24"/>
        </w:rPr>
        <w:t xml:space="preserve"> </w:t>
      </w:r>
      <w:r w:rsidRPr="0068615F">
        <w:rPr>
          <w:rFonts w:ascii="Palatino Linotype" w:hAnsi="Palatino Linotype" w:cs="Arial"/>
          <w:sz w:val="24"/>
          <w:szCs w:val="24"/>
        </w:rPr>
        <w:t xml:space="preserve"> </w:t>
      </w:r>
      <w:r w:rsidR="008E349D" w:rsidRPr="0068615F">
        <w:rPr>
          <w:rFonts w:ascii="Palatino Linotype" w:hAnsi="Palatino Linotype" w:cs="Arial"/>
          <w:sz w:val="24"/>
          <w:szCs w:val="24"/>
        </w:rPr>
        <w:t>dentro de</w:t>
      </w:r>
      <w:r w:rsidR="00756AED" w:rsidRPr="0068615F">
        <w:rPr>
          <w:rFonts w:ascii="Palatino Linotype" w:hAnsi="Palatino Linotype" w:cs="Arial"/>
          <w:sz w:val="24"/>
          <w:szCs w:val="24"/>
        </w:rPr>
        <w:t xml:space="preserve"> sus</w:t>
      </w:r>
      <w:r w:rsidR="00756AED" w:rsidRPr="0068615F">
        <w:rPr>
          <w:rFonts w:ascii="Palatino Linotype" w:hAnsi="Palatino Linotype"/>
          <w:sz w:val="24"/>
          <w:szCs w:val="24"/>
        </w:rPr>
        <w:t xml:space="preserve"> motivo</w:t>
      </w:r>
      <w:r w:rsidR="008E349D" w:rsidRPr="0068615F">
        <w:rPr>
          <w:rFonts w:ascii="Palatino Linotype" w:hAnsi="Palatino Linotype"/>
          <w:sz w:val="24"/>
          <w:szCs w:val="24"/>
        </w:rPr>
        <w:t>s de inconformidad</w:t>
      </w:r>
      <w:r w:rsidR="00756AED" w:rsidRPr="0068615F">
        <w:rPr>
          <w:rFonts w:ascii="Palatino Linotype" w:hAnsi="Palatino Linotype"/>
          <w:sz w:val="24"/>
          <w:szCs w:val="24"/>
        </w:rPr>
        <w:t xml:space="preserve"> </w:t>
      </w:r>
      <w:r w:rsidR="00364F8B" w:rsidRPr="0068615F">
        <w:rPr>
          <w:rFonts w:ascii="Palatino Linotype" w:hAnsi="Palatino Linotype"/>
          <w:sz w:val="24"/>
          <w:szCs w:val="24"/>
        </w:rPr>
        <w:t xml:space="preserve">no expresa razón o motivo de inconformidad en contra de la </w:t>
      </w:r>
      <w:r w:rsidR="004C2C9C" w:rsidRPr="0068615F">
        <w:rPr>
          <w:rFonts w:ascii="Palatino Linotype" w:hAnsi="Palatino Linotype"/>
          <w:sz w:val="24"/>
          <w:szCs w:val="24"/>
        </w:rPr>
        <w:t xml:space="preserve">totalidad de la </w:t>
      </w:r>
      <w:r w:rsidR="00364F8B" w:rsidRPr="0068615F">
        <w:rPr>
          <w:rFonts w:ascii="Palatino Linotype" w:hAnsi="Palatino Linotype"/>
          <w:sz w:val="24"/>
          <w:szCs w:val="24"/>
        </w:rPr>
        <w:t>información que le fue proporcionada a través de la respuesta; en consecuencia</w:t>
      </w:r>
      <w:r w:rsidR="009979C7" w:rsidRPr="0068615F">
        <w:rPr>
          <w:rFonts w:ascii="Palatino Linotype" w:hAnsi="Palatino Linotype"/>
          <w:sz w:val="24"/>
          <w:szCs w:val="24"/>
        </w:rPr>
        <w:t xml:space="preserve"> la Ponencia resolutora, estimo lo siguiente:</w:t>
      </w:r>
    </w:p>
    <w:p w:rsidR="009979C7" w:rsidRPr="0068615F" w:rsidRDefault="009979C7" w:rsidP="009979C7">
      <w:pPr>
        <w:pStyle w:val="Prrafodelista"/>
        <w:rPr>
          <w:rFonts w:ascii="Palatino Linotype" w:hAnsi="Palatino Linotype"/>
          <w:sz w:val="24"/>
          <w:szCs w:val="24"/>
        </w:rPr>
      </w:pPr>
    </w:p>
    <w:p w:rsidR="00445AC0" w:rsidRPr="0068615F" w:rsidRDefault="009979C7" w:rsidP="00445AC0">
      <w:pPr>
        <w:spacing w:line="360" w:lineRule="auto"/>
        <w:ind w:left="851" w:right="474"/>
        <w:jc w:val="both"/>
        <w:rPr>
          <w:rFonts w:ascii="Palatino Linotype" w:hAnsi="Palatino Linotype"/>
          <w:i/>
        </w:rPr>
      </w:pPr>
      <w:r w:rsidRPr="0068615F">
        <w:rPr>
          <w:rFonts w:ascii="Palatino Linotype" w:hAnsi="Palatino Linotype"/>
          <w:i/>
        </w:rPr>
        <w:t>“</w:t>
      </w:r>
      <w:r w:rsidR="00445AC0" w:rsidRPr="0068615F">
        <w:rPr>
          <w:rFonts w:ascii="Palatino Linotype" w:hAnsi="Palatino Linotype" w:cs="Arial"/>
          <w:i/>
        </w:rPr>
        <w:t xml:space="preserve">Ahora bien, por cuanto hace a las respuestas otorgadas en los artículos 92, fracciones II y XII, por cuanto hace a los periodos correspondientes de dos mil diecisiete y dos mil dieciocho; así como las fracciones VII, XXX y XXXV; 94 fracción I, inciso b), respecto del periodo correspondiente al dos mil diecisiete, deben </w:t>
      </w:r>
      <w:r w:rsidR="00445AC0" w:rsidRPr="0068615F">
        <w:rPr>
          <w:rFonts w:ascii="Palatino Linotype" w:eastAsia="Arial Unicode MS" w:hAnsi="Palatino Linotype" w:cs="Arial"/>
          <w:i/>
        </w:rPr>
        <w:t xml:space="preserve">declararse consentidas; ello en </w:t>
      </w:r>
      <w:r w:rsidR="00445AC0" w:rsidRPr="0068615F">
        <w:rPr>
          <w:rFonts w:ascii="Palatino Linotype" w:eastAsia="Arial Unicode MS" w:hAnsi="Palatino Linotype" w:cs="Arial"/>
          <w:i/>
        </w:rPr>
        <w:lastRenderedPageBreak/>
        <w:t xml:space="preserve">razón de que </w:t>
      </w:r>
      <w:r w:rsidR="00445AC0" w:rsidRPr="0068615F">
        <w:rPr>
          <w:rFonts w:ascii="Palatino Linotype" w:hAnsi="Palatino Linotype" w:cs="Arial"/>
          <w:b/>
          <w:i/>
        </w:rPr>
        <w:t xml:space="preserve">EL RECURRENTE </w:t>
      </w:r>
      <w:r w:rsidR="00445AC0" w:rsidRPr="0068615F">
        <w:rPr>
          <w:rFonts w:ascii="Palatino Linotype" w:hAnsi="Palatino Linotype" w:cs="Arial"/>
          <w:i/>
        </w:rPr>
        <w:t xml:space="preserve">al momento de presentar su recurso de revisión, no se inconformó de las mismas, por lo que al no expresar motivos de inconformidad </w:t>
      </w:r>
      <w:r w:rsidR="00445AC0" w:rsidRPr="0068615F">
        <w:rPr>
          <w:rFonts w:ascii="Palatino Linotype" w:eastAsia="Arial Unicode MS" w:hAnsi="Palatino Linotype" w:cs="Arial"/>
          <w:i/>
        </w:rPr>
        <w:t xml:space="preserve">no pueden producirse efectos jurídicos tendentes a revocar, confirmar o modificar el acto reclamado, </w:t>
      </w:r>
      <w:r w:rsidR="00445AC0" w:rsidRPr="0068615F">
        <w:rPr>
          <w:rFonts w:ascii="Palatino Linotype" w:hAnsi="Palatino Linotype"/>
          <w:i/>
        </w:rPr>
        <w:t xml:space="preserve">ya que no realizó manifestación alguna al respecto. </w:t>
      </w:r>
    </w:p>
    <w:p w:rsidR="00445AC0" w:rsidRPr="0068615F" w:rsidRDefault="00445AC0" w:rsidP="00445AC0">
      <w:pPr>
        <w:spacing w:line="360" w:lineRule="auto"/>
        <w:ind w:left="851" w:right="474"/>
        <w:jc w:val="both"/>
        <w:rPr>
          <w:rFonts w:ascii="Palatino Linotype" w:hAnsi="Palatino Linotype"/>
          <w:i/>
        </w:rPr>
      </w:pPr>
      <w:r w:rsidRPr="0068615F">
        <w:rPr>
          <w:rFonts w:ascii="Palatino Linotype" w:hAnsi="Palatino Linotype"/>
          <w:i/>
        </w:rPr>
        <w:t>Sirve de sustento, la tesis jurisprudencial número VI.3o.C. J/60, publicada en el Semanario Judicial de la Federación y su Gaceta bajo el número de registro 176,608 que a la letra dice:</w:t>
      </w:r>
    </w:p>
    <w:p w:rsidR="00445AC0" w:rsidRPr="0068615F" w:rsidRDefault="00445AC0" w:rsidP="00445AC0">
      <w:pPr>
        <w:ind w:left="851" w:right="474"/>
        <w:jc w:val="both"/>
        <w:rPr>
          <w:rFonts w:ascii="Palatino Linotype" w:hAnsi="Palatino Linotype"/>
          <w:i/>
        </w:rPr>
      </w:pPr>
      <w:r w:rsidRPr="0068615F">
        <w:rPr>
          <w:rFonts w:ascii="Palatino Linotype" w:hAnsi="Palatino Linotype"/>
          <w:b/>
          <w:bCs/>
          <w:i/>
        </w:rPr>
        <w:t xml:space="preserve">“ACTOS CONSENTIDOS. SON LOS QUE NO SE IMPUGNAN MEDIANTE EL RECURSO IDÓNEO. </w:t>
      </w:r>
      <w:r w:rsidRPr="0068615F">
        <w:rPr>
          <w:rFonts w:ascii="Palatino Linotype" w:hAnsi="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45AC0" w:rsidRPr="0068615F" w:rsidRDefault="00445AC0" w:rsidP="00445AC0">
      <w:pPr>
        <w:spacing w:line="360" w:lineRule="auto"/>
        <w:ind w:left="851" w:right="474"/>
        <w:jc w:val="both"/>
        <w:rPr>
          <w:rFonts w:ascii="Palatino Linotype" w:hAnsi="Palatino Linotype"/>
          <w:i/>
        </w:rPr>
      </w:pPr>
      <w:r w:rsidRPr="0068615F">
        <w:rPr>
          <w:rFonts w:ascii="Palatino Linotype" w:hAnsi="Palatino Linotype"/>
          <w:i/>
        </w:rPr>
        <w:t xml:space="preserve">Lo anterior es así, debido a que cuando </w:t>
      </w:r>
      <w:r w:rsidRPr="0068615F">
        <w:rPr>
          <w:rFonts w:ascii="Palatino Linotype" w:hAnsi="Palatino Linotype"/>
          <w:b/>
          <w:i/>
        </w:rPr>
        <w:t xml:space="preserve">EL RECURRENTE </w:t>
      </w:r>
      <w:r w:rsidRPr="0068615F">
        <w:rPr>
          <w:rFonts w:ascii="Palatino Linotype" w:hAnsi="Palatino Linotype"/>
          <w:i/>
        </w:rPr>
        <w:t xml:space="preserve">impugnó la respuesta del </w:t>
      </w:r>
      <w:r w:rsidRPr="0068615F">
        <w:rPr>
          <w:rFonts w:ascii="Palatino Linotype" w:hAnsi="Palatino Linotype"/>
          <w:b/>
          <w:i/>
        </w:rPr>
        <w:t>SUJETO OBLIGADO</w:t>
      </w:r>
      <w:r w:rsidRPr="0068615F">
        <w:rPr>
          <w:rFonts w:ascii="Palatino Linotype" w:hAnsi="Palatino Linotype"/>
          <w:i/>
        </w:rPr>
        <w:t xml:space="preserve">, y no expresó razón o motivo de inconformidad en contra de todos los rubros solicitados, dichos rubros deben declararse atendidos, pues se entiende que </w:t>
      </w:r>
      <w:r w:rsidRPr="0068615F">
        <w:rPr>
          <w:rFonts w:ascii="Palatino Linotype" w:hAnsi="Palatino Linotype"/>
          <w:b/>
          <w:i/>
        </w:rPr>
        <w:t>EL RECURRENTE</w:t>
      </w:r>
      <w:r w:rsidRPr="0068615F">
        <w:rPr>
          <w:rFonts w:ascii="Palatino Linotype" w:hAnsi="Palatino Linotype"/>
          <w:i/>
        </w:rPr>
        <w:t xml:space="preserve"> está conforme con la información entregada al no contravenir la misma. </w:t>
      </w:r>
    </w:p>
    <w:p w:rsidR="00445AC0" w:rsidRPr="0068615F" w:rsidRDefault="00445AC0" w:rsidP="00445AC0">
      <w:pPr>
        <w:spacing w:line="360" w:lineRule="auto"/>
        <w:ind w:left="851" w:right="474"/>
        <w:jc w:val="both"/>
        <w:rPr>
          <w:rFonts w:ascii="Palatino Linotype" w:hAnsi="Palatino Linotype"/>
          <w:i/>
        </w:rPr>
      </w:pPr>
      <w:r w:rsidRPr="0068615F">
        <w:rPr>
          <w:rFonts w:ascii="Palatino Linotype" w:hAnsi="Palatino Linotype"/>
          <w:i/>
        </w:rPr>
        <w:t>Atento a ello, es importante traer a contexto la Tesis Jurisprudencial Número 3ª./J.7/91, Publicada en el Semanario Judicial de la Federación y su Gaceta bajo el número de registro 174,177, que establece lo siguiente:</w:t>
      </w:r>
    </w:p>
    <w:p w:rsidR="00445AC0" w:rsidRPr="0068615F" w:rsidRDefault="00445AC0" w:rsidP="00445AC0">
      <w:pPr>
        <w:ind w:left="851" w:right="474"/>
        <w:jc w:val="both"/>
        <w:rPr>
          <w:rFonts w:ascii="Palatino Linotype" w:hAnsi="Palatino Linotype"/>
          <w:i/>
        </w:rPr>
      </w:pPr>
    </w:p>
    <w:p w:rsidR="00445AC0" w:rsidRPr="0068615F" w:rsidRDefault="00445AC0" w:rsidP="00445AC0">
      <w:pPr>
        <w:ind w:left="851" w:right="474"/>
        <w:jc w:val="both"/>
        <w:rPr>
          <w:rFonts w:ascii="Palatino Linotype" w:hAnsi="Palatino Linotype"/>
          <w:bCs/>
          <w:i/>
          <w:iCs/>
        </w:rPr>
      </w:pPr>
      <w:r w:rsidRPr="0068615F">
        <w:rPr>
          <w:rFonts w:ascii="Palatino Linotype" w:hAnsi="Palatino Linotype"/>
          <w:b/>
          <w:i/>
        </w:rPr>
        <w:t xml:space="preserve">“REVISIÓN EN AMPARO. LOS RESOLUTIVOS NO COMBATIDOS DEBEN DECLARARSE FIRMES. </w:t>
      </w:r>
      <w:r w:rsidRPr="0068615F">
        <w:rPr>
          <w:rFonts w:ascii="Palatino Linotype" w:hAnsi="Palatino Linotype"/>
          <w:bCs/>
          <w:i/>
          <w:iCs/>
        </w:rPr>
        <w:t xml:space="preserve">Cuando algún resolutivo de la sentencia impugnada afecta a la recurrente, y ésta no expresa agravio en contra de las </w:t>
      </w:r>
      <w:r w:rsidRPr="0068615F">
        <w:rPr>
          <w:rFonts w:ascii="Palatino Linotype" w:hAnsi="Palatino Linotype"/>
          <w:bCs/>
          <w:i/>
          <w:iCs/>
        </w:rPr>
        <w:lastRenderedPageBreak/>
        <w:t xml:space="preserve">consideraciones que le sirven de base, dicho resolutivo debe declararse firme. Esto es, en el caso referido, no obstante que la materia de la revisión comprende a </w:t>
      </w:r>
      <w:r w:rsidRPr="0068615F">
        <w:rPr>
          <w:rFonts w:ascii="Palatino Linotype" w:hAnsi="Palatino Linotype"/>
          <w:i/>
        </w:rPr>
        <w:t>todos</w:t>
      </w:r>
      <w:r w:rsidRPr="0068615F">
        <w:rPr>
          <w:rFonts w:ascii="Palatino Linotype" w:hAnsi="Palatino Linotype"/>
          <w:bCs/>
          <w:i/>
          <w:iC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979C7" w:rsidRPr="0068615F" w:rsidRDefault="009979C7" w:rsidP="009979C7">
      <w:pPr>
        <w:pStyle w:val="Sinespaciado"/>
        <w:spacing w:line="360" w:lineRule="auto"/>
        <w:ind w:left="709" w:right="474"/>
        <w:jc w:val="both"/>
        <w:rPr>
          <w:rFonts w:ascii="Palatino Linotype" w:hAnsi="Palatino Linotype"/>
          <w:i/>
          <w:sz w:val="24"/>
          <w:szCs w:val="24"/>
        </w:rPr>
      </w:pPr>
    </w:p>
    <w:p w:rsidR="005F11DB" w:rsidRPr="0068615F" w:rsidRDefault="00364F8B" w:rsidP="00BF3BAD">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sz w:val="24"/>
          <w:szCs w:val="24"/>
        </w:rPr>
        <w:t>En ese tenor, la Ponencia resolutora entonces</w:t>
      </w:r>
      <w:r w:rsidR="00F81422" w:rsidRPr="0068615F">
        <w:rPr>
          <w:rFonts w:ascii="Palatino Linotype" w:hAnsi="Palatino Linotype"/>
          <w:sz w:val="24"/>
          <w:szCs w:val="24"/>
        </w:rPr>
        <w:t xml:space="preserve"> p</w:t>
      </w:r>
      <w:r w:rsidR="005F11DB" w:rsidRPr="0068615F">
        <w:rPr>
          <w:rFonts w:ascii="Palatino Linotype" w:hAnsi="Palatino Linotype" w:cs="Arial"/>
          <w:sz w:val="24"/>
          <w:szCs w:val="24"/>
        </w:rPr>
        <w:t>resum</w:t>
      </w:r>
      <w:r w:rsidRPr="0068615F">
        <w:rPr>
          <w:rFonts w:ascii="Palatino Linotype" w:hAnsi="Palatino Linotype" w:cs="Arial"/>
          <w:sz w:val="24"/>
          <w:szCs w:val="24"/>
        </w:rPr>
        <w:t>e</w:t>
      </w:r>
      <w:r w:rsidR="005F11DB" w:rsidRPr="0068615F">
        <w:rPr>
          <w:rFonts w:ascii="Palatino Linotype" w:hAnsi="Palatino Linotype" w:cs="Arial"/>
          <w:sz w:val="24"/>
          <w:szCs w:val="24"/>
        </w:rPr>
        <w:t xml:space="preserve"> que el ahora recurrente se encuentra conforme con dicha información, y al no existir manifestaciones de inconformidad al respecto</w:t>
      </w:r>
      <w:r w:rsidR="005F11DB" w:rsidRPr="0068615F">
        <w:rPr>
          <w:rFonts w:ascii="Palatino Linotype" w:hAnsi="Palatino Linotype"/>
          <w:sz w:val="24"/>
          <w:szCs w:val="24"/>
        </w:rPr>
        <w:t xml:space="preserve"> se haya </w:t>
      </w:r>
      <w:r w:rsidR="005F11DB" w:rsidRPr="0068615F">
        <w:rPr>
          <w:rFonts w:ascii="Palatino Linotype" w:hAnsi="Palatino Linotype" w:cs="Arial"/>
          <w:sz w:val="24"/>
          <w:szCs w:val="24"/>
        </w:rPr>
        <w:t xml:space="preserve">declarado un acto consentido por </w:t>
      </w:r>
      <w:r w:rsidR="00261774" w:rsidRPr="0068615F">
        <w:rPr>
          <w:rFonts w:ascii="Palatino Linotype" w:hAnsi="Palatino Linotype" w:cs="Arial"/>
          <w:sz w:val="24"/>
          <w:szCs w:val="24"/>
        </w:rPr>
        <w:t>e</w:t>
      </w:r>
      <w:r w:rsidR="00DA3358" w:rsidRPr="0068615F">
        <w:rPr>
          <w:rFonts w:ascii="Palatino Linotype" w:hAnsi="Palatino Linotype" w:cs="Arial"/>
          <w:sz w:val="24"/>
          <w:szCs w:val="24"/>
        </w:rPr>
        <w:t>l recurrente</w:t>
      </w:r>
      <w:r w:rsidR="005F11DB" w:rsidRPr="0068615F">
        <w:rPr>
          <w:rFonts w:ascii="Palatino Linotype" w:hAnsi="Palatino Linotype" w:cs="Arial"/>
          <w:sz w:val="24"/>
          <w:szCs w:val="24"/>
        </w:rPr>
        <w:t>, y se haya inferido su consentimiento ante la falta de impugnación eficaz.</w:t>
      </w:r>
    </w:p>
    <w:p w:rsidR="005F11DB" w:rsidRPr="0068615F" w:rsidRDefault="005F11DB" w:rsidP="005F11DB">
      <w:pPr>
        <w:pStyle w:val="Prrafodelista"/>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Por tal motivo y e</w:t>
      </w:r>
      <w:r w:rsidR="00C81948" w:rsidRPr="0068615F">
        <w:rPr>
          <w:rFonts w:ascii="Palatino Linotype" w:hAnsi="Palatino Linotype" w:cs="Arial"/>
          <w:sz w:val="24"/>
          <w:szCs w:val="24"/>
        </w:rPr>
        <w:t xml:space="preserve">n términos de lo señalado por el </w:t>
      </w:r>
      <w:r w:rsidRPr="0068615F">
        <w:rPr>
          <w:rFonts w:ascii="Palatino Linotype" w:hAnsi="Palatino Linotype" w:cs="Arial"/>
          <w:sz w:val="24"/>
          <w:szCs w:val="24"/>
        </w:rPr>
        <w:t xml:space="preserve">artículo 14 fracción XI del Reglamento Interior del Instituto de Transparencia y Acceso a la Información Pública del Estado de México y Municipios formulo </w:t>
      </w:r>
      <w:r w:rsidR="00C81948" w:rsidRPr="0068615F">
        <w:rPr>
          <w:rFonts w:ascii="Palatino Linotype" w:hAnsi="Palatino Linotype" w:cs="Arial"/>
          <w:sz w:val="24"/>
          <w:szCs w:val="24"/>
        </w:rPr>
        <w:t>e</w:t>
      </w:r>
      <w:r w:rsidRPr="0068615F">
        <w:rPr>
          <w:rFonts w:ascii="Palatino Linotype" w:hAnsi="Palatino Linotype" w:cs="Arial"/>
          <w:sz w:val="24"/>
          <w:szCs w:val="24"/>
        </w:rPr>
        <w:t xml:space="preserve">l presente voto particular. </w:t>
      </w:r>
    </w:p>
    <w:p w:rsidR="005F11DB" w:rsidRPr="0068615F" w:rsidRDefault="005F11DB" w:rsidP="005F11DB">
      <w:pPr>
        <w:pStyle w:val="Prrafodelista"/>
        <w:rPr>
          <w:rFonts w:ascii="Palatino Linotype" w:hAnsi="Palatino Linotype" w:cs="Arial"/>
          <w:sz w:val="24"/>
          <w:szCs w:val="24"/>
        </w:rPr>
      </w:pPr>
    </w:p>
    <w:p w:rsidR="005F11DB" w:rsidRPr="0068615F" w:rsidRDefault="005F11DB" w:rsidP="005F11DB">
      <w:pPr>
        <w:pStyle w:val="Ttulo1"/>
        <w:numPr>
          <w:ilvl w:val="0"/>
          <w:numId w:val="13"/>
        </w:numPr>
        <w:rPr>
          <w:rFonts w:ascii="Palatino Linotype" w:hAnsi="Palatino Linotype"/>
          <w:b/>
          <w:color w:val="000000" w:themeColor="text1"/>
          <w:sz w:val="24"/>
          <w:szCs w:val="24"/>
        </w:rPr>
      </w:pPr>
      <w:bookmarkStart w:id="1" w:name="_Toc482005020"/>
      <w:r w:rsidRPr="0068615F">
        <w:rPr>
          <w:rFonts w:ascii="Palatino Linotype" w:hAnsi="Palatino Linotype"/>
          <w:b/>
          <w:color w:val="000000" w:themeColor="text1"/>
          <w:sz w:val="24"/>
          <w:szCs w:val="24"/>
        </w:rPr>
        <w:t>De los requerimientos planteados en el recurso de revisión.</w:t>
      </w:r>
      <w:bookmarkEnd w:id="1"/>
    </w:p>
    <w:p w:rsidR="00445AC0" w:rsidRPr="0068615F" w:rsidRDefault="00445AC0" w:rsidP="00445AC0">
      <w:pPr>
        <w:rPr>
          <w:rFonts w:ascii="Palatino Linotype" w:hAnsi="Palatino Linotype"/>
        </w:rPr>
      </w:pPr>
    </w:p>
    <w:p w:rsidR="005F11DB" w:rsidRPr="0068615F" w:rsidRDefault="00445AC0" w:rsidP="005F11DB">
      <w:pPr>
        <w:pStyle w:val="Prrafodelista"/>
        <w:numPr>
          <w:ilvl w:val="0"/>
          <w:numId w:val="8"/>
        </w:numPr>
        <w:spacing w:after="0" w:line="360" w:lineRule="auto"/>
        <w:jc w:val="both"/>
        <w:rPr>
          <w:rFonts w:ascii="Palatino Linotype" w:eastAsia="Times New Roman" w:hAnsi="Palatino Linotype" w:cs="Arial"/>
          <w:sz w:val="24"/>
          <w:szCs w:val="24"/>
        </w:rPr>
      </w:pPr>
      <w:r w:rsidRPr="0068615F">
        <w:rPr>
          <w:rFonts w:ascii="Palatino Linotype" w:hAnsi="Palatino Linotype" w:cs="Arial"/>
          <w:sz w:val="24"/>
          <w:szCs w:val="24"/>
        </w:rPr>
        <w:t>El</w:t>
      </w:r>
      <w:r w:rsidR="009979C7" w:rsidRPr="0068615F">
        <w:rPr>
          <w:rFonts w:ascii="Palatino Linotype" w:hAnsi="Palatino Linotype" w:cs="Arial"/>
          <w:sz w:val="24"/>
          <w:szCs w:val="24"/>
        </w:rPr>
        <w:t xml:space="preserve"> hoy recurrente</w:t>
      </w:r>
      <w:r w:rsidR="005F11DB" w:rsidRPr="0068615F">
        <w:rPr>
          <w:rFonts w:ascii="Palatino Linotype" w:hAnsi="Palatino Linotype" w:cs="Arial"/>
          <w:sz w:val="24"/>
          <w:szCs w:val="24"/>
        </w:rPr>
        <w:t xml:space="preserve">, mediante solicitud de acceso a la información requirió la información siguiente: </w:t>
      </w:r>
    </w:p>
    <w:p w:rsidR="00445AC0" w:rsidRPr="0068615F" w:rsidRDefault="00445AC0" w:rsidP="00445AC0">
      <w:pPr>
        <w:ind w:left="709"/>
        <w:jc w:val="both"/>
        <w:rPr>
          <w:rFonts w:ascii="Palatino Linotype" w:hAnsi="Palatino Linotype"/>
          <w:bCs/>
        </w:rPr>
      </w:pPr>
      <w:r w:rsidRPr="0068615F">
        <w:rPr>
          <w:rFonts w:ascii="Palatino Linotype" w:hAnsi="Palatino Linotype"/>
          <w:b/>
          <w:bCs/>
        </w:rPr>
        <w:t>00065/OCOYOAC/IP/2018</w:t>
      </w:r>
      <w:r w:rsidRPr="0068615F">
        <w:rPr>
          <w:rFonts w:ascii="Palatino Linotype" w:hAnsi="Palatino Linotype"/>
          <w:bCs/>
        </w:rPr>
        <w:t xml:space="preserve"> </w:t>
      </w:r>
    </w:p>
    <w:p w:rsidR="00445AC0" w:rsidRPr="0068615F" w:rsidRDefault="00445AC0" w:rsidP="00445AC0">
      <w:pPr>
        <w:ind w:left="709" w:right="901"/>
        <w:jc w:val="both"/>
        <w:rPr>
          <w:rFonts w:ascii="Palatino Linotype" w:hAnsi="Palatino Linotype" w:cs="Arial"/>
          <w:i/>
          <w:lang w:eastAsia="es-MX"/>
        </w:rPr>
      </w:pPr>
      <w:r w:rsidRPr="0068615F">
        <w:rPr>
          <w:rFonts w:ascii="Palatino Linotype" w:hAnsi="Palatino Linotype" w:cs="Arial"/>
          <w:i/>
          <w:lang w:eastAsia="es-MX"/>
        </w:rPr>
        <w:t xml:space="preserve">“Solicito que sea proporcionada la información descrita en las fracciones II, VIII, X, XII, XXV, XXVI, XXVIII, XXX, XXXV, XXXVIII, XL, XLVII del artículo 92 de la Ley de Transparencia, Acceso a la Información Pública del Estado de México </w:t>
      </w:r>
      <w:r w:rsidRPr="0068615F">
        <w:rPr>
          <w:rFonts w:ascii="Palatino Linotype" w:hAnsi="Palatino Linotype" w:cs="Arial"/>
          <w:i/>
          <w:lang w:eastAsia="es-MX"/>
        </w:rPr>
        <w:lastRenderedPageBreak/>
        <w:t>y Municipios (LTAIPEMM); así como la descrita en el artículo 94, fracción I, inciso b), d) y f); de la ley en cuestión. Se adjunta solicitud” (Sic)</w:t>
      </w:r>
    </w:p>
    <w:p w:rsidR="00445AC0" w:rsidRPr="0068615F" w:rsidRDefault="00445AC0" w:rsidP="00445AC0">
      <w:pPr>
        <w:ind w:left="709"/>
        <w:jc w:val="both"/>
        <w:rPr>
          <w:rFonts w:ascii="Palatino Linotype" w:hAnsi="Palatino Linotype"/>
          <w:bCs/>
        </w:rPr>
      </w:pPr>
    </w:p>
    <w:p w:rsidR="00445AC0" w:rsidRPr="0068615F" w:rsidRDefault="00445AC0" w:rsidP="00445AC0">
      <w:pPr>
        <w:ind w:left="709"/>
        <w:jc w:val="both"/>
        <w:rPr>
          <w:rFonts w:ascii="Palatino Linotype" w:hAnsi="Palatino Linotype"/>
          <w:b/>
          <w:bCs/>
        </w:rPr>
      </w:pPr>
      <w:r w:rsidRPr="0068615F">
        <w:rPr>
          <w:rFonts w:ascii="Palatino Linotype" w:hAnsi="Palatino Linotype"/>
          <w:b/>
          <w:bCs/>
        </w:rPr>
        <w:t>00067/OCOYOAC/IP/2018</w:t>
      </w:r>
    </w:p>
    <w:p w:rsidR="00445AC0" w:rsidRPr="0068615F" w:rsidRDefault="00445AC0" w:rsidP="00445AC0">
      <w:pPr>
        <w:ind w:left="709" w:right="901"/>
        <w:jc w:val="both"/>
        <w:rPr>
          <w:rFonts w:ascii="Palatino Linotype" w:hAnsi="Palatino Linotype" w:cs="Arial"/>
          <w:i/>
          <w:lang w:eastAsia="es-MX"/>
        </w:rPr>
      </w:pPr>
      <w:r w:rsidRPr="0068615F">
        <w:rPr>
          <w:rFonts w:ascii="Palatino Linotype" w:hAnsi="Palatino Linotype" w:cs="Arial"/>
          <w:i/>
          <w:lang w:eastAsia="es-MX"/>
        </w:rPr>
        <w:t>“Solicito que sea proporcionada la información descrita en las fracciones XXXII y XXXVII del artículo 92 de la Ley de Transparencia, Acceso a la Información Pública del Estado de México y Municipios (LTAIPEMM). (Se adjunta solicitud)” (Sic)</w:t>
      </w:r>
    </w:p>
    <w:p w:rsidR="004D746D" w:rsidRPr="0068615F" w:rsidRDefault="004D746D" w:rsidP="004D746D">
      <w:pPr>
        <w:pStyle w:val="Sinespaciado"/>
        <w:tabs>
          <w:tab w:val="left" w:pos="142"/>
        </w:tabs>
        <w:spacing w:line="360" w:lineRule="auto"/>
        <w:ind w:right="334"/>
        <w:jc w:val="both"/>
        <w:rPr>
          <w:rFonts w:ascii="Palatino Linotype" w:hAnsi="Palatino Linotype" w:cs="Arial"/>
          <w:i/>
          <w:color w:val="000000" w:themeColor="text1"/>
        </w:rPr>
      </w:pPr>
    </w:p>
    <w:p w:rsidR="005F11DB" w:rsidRPr="0068615F" w:rsidRDefault="005F11DB" w:rsidP="005F11DB">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cs="Arial"/>
          <w:sz w:val="24"/>
          <w:szCs w:val="24"/>
        </w:rPr>
        <w:t xml:space="preserve">En ese sentido, </w:t>
      </w:r>
      <w:r w:rsidR="00445AC0" w:rsidRPr="0068615F">
        <w:rPr>
          <w:rFonts w:ascii="Palatino Linotype" w:hAnsi="Palatino Linotype" w:cs="Arial"/>
          <w:sz w:val="24"/>
          <w:szCs w:val="24"/>
        </w:rPr>
        <w:t>e</w:t>
      </w:r>
      <w:r w:rsidR="009979C7" w:rsidRPr="0068615F">
        <w:rPr>
          <w:rFonts w:ascii="Palatino Linotype" w:hAnsi="Palatino Linotype" w:cs="Arial"/>
          <w:sz w:val="24"/>
          <w:szCs w:val="24"/>
        </w:rPr>
        <w:t>l hoy recurrente</w:t>
      </w:r>
      <w:r w:rsidRPr="0068615F">
        <w:rPr>
          <w:rFonts w:ascii="Palatino Linotype" w:hAnsi="Palatino Linotype" w:cs="Arial"/>
          <w:b/>
          <w:sz w:val="24"/>
          <w:szCs w:val="24"/>
        </w:rPr>
        <w:t xml:space="preserve"> </w:t>
      </w:r>
      <w:r w:rsidRPr="0068615F">
        <w:rPr>
          <w:rFonts w:ascii="Palatino Linotype" w:hAnsi="Palatino Linotype" w:cs="Arial"/>
          <w:sz w:val="24"/>
          <w:szCs w:val="24"/>
        </w:rPr>
        <w:t xml:space="preserve"> manifestó en su recurso de revisión como acto impugnado, y como razones o motivos de inconformidad los siguientes:</w:t>
      </w:r>
    </w:p>
    <w:p w:rsidR="005F11DB" w:rsidRPr="0068615F" w:rsidRDefault="005F11DB" w:rsidP="005F11DB">
      <w:pPr>
        <w:pStyle w:val="Prrafodelista"/>
        <w:shd w:val="clear" w:color="auto" w:fill="FFFFFF"/>
        <w:spacing w:before="240" w:after="240" w:line="360" w:lineRule="auto"/>
        <w:ind w:left="360"/>
        <w:jc w:val="both"/>
        <w:rPr>
          <w:rFonts w:ascii="Palatino Linotype" w:hAnsi="Palatino Linotype"/>
          <w:b/>
          <w:color w:val="000000" w:themeColor="text1"/>
        </w:rPr>
      </w:pPr>
    </w:p>
    <w:p w:rsidR="005F11DB" w:rsidRPr="0068615F" w:rsidRDefault="005F11DB" w:rsidP="005F11DB">
      <w:pPr>
        <w:pStyle w:val="Prrafodelista"/>
        <w:spacing w:after="0" w:line="360" w:lineRule="auto"/>
        <w:ind w:left="360"/>
        <w:jc w:val="both"/>
        <w:rPr>
          <w:rFonts w:ascii="Palatino Linotype" w:hAnsi="Palatino Linotype" w:cs="Arial"/>
          <w:b/>
          <w:sz w:val="24"/>
          <w:szCs w:val="24"/>
        </w:rPr>
      </w:pPr>
      <w:r w:rsidRPr="0068615F">
        <w:rPr>
          <w:rFonts w:ascii="Palatino Linotype" w:hAnsi="Palatino Linotype" w:cs="Arial"/>
          <w:b/>
          <w:sz w:val="24"/>
          <w:szCs w:val="24"/>
        </w:rPr>
        <w:t>ACTO IMPUGNADO</w:t>
      </w:r>
      <w:r w:rsidRPr="0068615F">
        <w:rPr>
          <w:rFonts w:ascii="Palatino Linotype" w:hAnsi="Palatino Linotype" w:cs="Arial"/>
          <w:b/>
          <w:sz w:val="24"/>
          <w:szCs w:val="24"/>
        </w:rPr>
        <w:tab/>
      </w:r>
    </w:p>
    <w:p w:rsidR="005F11DB" w:rsidRPr="0068615F" w:rsidRDefault="009979C7" w:rsidP="005F11DB">
      <w:pPr>
        <w:pStyle w:val="Prrafodelista"/>
        <w:spacing w:after="0" w:line="360" w:lineRule="auto"/>
        <w:ind w:left="567" w:right="333"/>
        <w:jc w:val="both"/>
        <w:rPr>
          <w:rFonts w:ascii="Palatino Linotype" w:hAnsi="Palatino Linotype" w:cs="Arial"/>
          <w:i/>
          <w:sz w:val="24"/>
          <w:szCs w:val="24"/>
        </w:rPr>
      </w:pPr>
      <w:r w:rsidRPr="0068615F">
        <w:rPr>
          <w:rFonts w:ascii="Palatino Linotype" w:hAnsi="Palatino Linotype" w:cs="Arial"/>
          <w:i/>
        </w:rPr>
        <w:t>“</w:t>
      </w:r>
      <w:r w:rsidR="00117639" w:rsidRPr="0068615F">
        <w:rPr>
          <w:rFonts w:ascii="Palatino Linotype" w:hAnsi="Palatino Linotype" w:cs="Arial"/>
          <w:i/>
        </w:rPr>
        <w:t>La entrega de información incompleta.</w:t>
      </w:r>
      <w:r w:rsidRPr="0068615F">
        <w:rPr>
          <w:rFonts w:ascii="Palatino Linotype" w:hAnsi="Palatino Linotype" w:cs="Arial"/>
          <w:i/>
        </w:rPr>
        <w:t>"</w:t>
      </w:r>
      <w:r w:rsidR="005F11DB" w:rsidRPr="0068615F">
        <w:rPr>
          <w:rFonts w:ascii="Palatino Linotype" w:hAnsi="Palatino Linotype" w:cs="Arial"/>
          <w:i/>
          <w:sz w:val="24"/>
          <w:szCs w:val="24"/>
        </w:rPr>
        <w:t xml:space="preserve"> </w:t>
      </w:r>
      <w:r w:rsidR="005F11DB" w:rsidRPr="0068615F">
        <w:rPr>
          <w:rFonts w:ascii="Palatino Linotype" w:hAnsi="Palatino Linotype" w:cs="Arial"/>
          <w:sz w:val="24"/>
          <w:szCs w:val="24"/>
        </w:rPr>
        <w:t>(Sic)</w:t>
      </w:r>
    </w:p>
    <w:p w:rsidR="005F11DB" w:rsidRPr="0068615F" w:rsidRDefault="005F11DB" w:rsidP="005F11DB">
      <w:pPr>
        <w:pStyle w:val="Prrafodelista"/>
        <w:spacing w:after="0" w:line="360" w:lineRule="auto"/>
        <w:ind w:left="360"/>
        <w:jc w:val="both"/>
        <w:rPr>
          <w:rFonts w:ascii="Palatino Linotype" w:hAnsi="Palatino Linotype" w:cs="Arial"/>
          <w:sz w:val="24"/>
          <w:szCs w:val="24"/>
        </w:rPr>
      </w:pPr>
    </w:p>
    <w:p w:rsidR="005F11DB" w:rsidRPr="0068615F" w:rsidRDefault="005F11DB" w:rsidP="005F11DB">
      <w:pPr>
        <w:pStyle w:val="Prrafodelista"/>
        <w:spacing w:after="0" w:line="360" w:lineRule="auto"/>
        <w:ind w:left="360"/>
        <w:jc w:val="both"/>
        <w:rPr>
          <w:rFonts w:ascii="Palatino Linotype" w:hAnsi="Palatino Linotype" w:cs="Arial"/>
          <w:b/>
          <w:sz w:val="24"/>
          <w:szCs w:val="24"/>
        </w:rPr>
      </w:pPr>
      <w:r w:rsidRPr="0068615F">
        <w:rPr>
          <w:rFonts w:ascii="Palatino Linotype" w:hAnsi="Palatino Linotype" w:cs="Arial"/>
          <w:b/>
          <w:sz w:val="24"/>
          <w:szCs w:val="24"/>
        </w:rPr>
        <w:t>RAZONES O MOTIVOS DE LA INCONFORMIDAD</w:t>
      </w:r>
      <w:r w:rsidRPr="0068615F">
        <w:rPr>
          <w:rFonts w:ascii="Palatino Linotype" w:hAnsi="Palatino Linotype" w:cs="Arial"/>
          <w:b/>
          <w:sz w:val="24"/>
          <w:szCs w:val="24"/>
        </w:rPr>
        <w:tab/>
      </w:r>
    </w:p>
    <w:p w:rsidR="005F11DB" w:rsidRPr="0068615F" w:rsidRDefault="009979C7" w:rsidP="00242F86">
      <w:pPr>
        <w:pStyle w:val="Prrafodelista"/>
        <w:spacing w:after="0" w:line="360" w:lineRule="auto"/>
        <w:ind w:left="567" w:right="616"/>
        <w:jc w:val="both"/>
        <w:rPr>
          <w:rFonts w:ascii="Palatino Linotype" w:hAnsi="Palatino Linotype" w:cs="Arial"/>
          <w:sz w:val="24"/>
          <w:szCs w:val="24"/>
        </w:rPr>
      </w:pPr>
      <w:r w:rsidRPr="0068615F">
        <w:rPr>
          <w:rFonts w:ascii="Palatino Linotype" w:hAnsi="Palatino Linotype" w:cs="Arial"/>
          <w:i/>
        </w:rPr>
        <w:t>“</w:t>
      </w:r>
      <w:r w:rsidR="00117639" w:rsidRPr="0068615F">
        <w:rPr>
          <w:rFonts w:ascii="Palatino Linotype" w:hAnsi="Palatino Linotype" w:cs="Arial"/>
          <w:i/>
        </w:rPr>
        <w:t>El sujeto obligado debe poner a mi disposición la información que solicité durante el periodo comprendido del 11 de septiembre de 2017 al 11 de septiembre de 2018. 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Ocoyoacac, en el Estado de México, por la entrega de información incompleta.</w:t>
      </w:r>
      <w:r w:rsidRPr="0068615F">
        <w:rPr>
          <w:rFonts w:ascii="Palatino Linotype" w:hAnsi="Palatino Linotype" w:cs="Arial"/>
          <w:i/>
        </w:rPr>
        <w:t xml:space="preserve">” </w:t>
      </w:r>
      <w:r w:rsidR="005F11DB" w:rsidRPr="0068615F">
        <w:rPr>
          <w:rFonts w:ascii="Palatino Linotype" w:hAnsi="Palatino Linotype" w:cs="Arial"/>
          <w:i/>
          <w:sz w:val="28"/>
          <w:szCs w:val="24"/>
        </w:rPr>
        <w:t xml:space="preserve"> </w:t>
      </w:r>
      <w:r w:rsidR="005F11DB" w:rsidRPr="0068615F">
        <w:rPr>
          <w:rFonts w:ascii="Palatino Linotype" w:hAnsi="Palatino Linotype" w:cs="Arial"/>
          <w:sz w:val="24"/>
          <w:szCs w:val="24"/>
        </w:rPr>
        <w:t>(Sic)</w:t>
      </w:r>
    </w:p>
    <w:p w:rsidR="005F11DB" w:rsidRPr="0068615F" w:rsidRDefault="005F11DB" w:rsidP="000F0318">
      <w:pPr>
        <w:pStyle w:val="Prrafodelista"/>
        <w:numPr>
          <w:ilvl w:val="0"/>
          <w:numId w:val="8"/>
        </w:numPr>
        <w:tabs>
          <w:tab w:val="left" w:pos="284"/>
        </w:tabs>
        <w:spacing w:after="0" w:line="360" w:lineRule="auto"/>
        <w:jc w:val="both"/>
        <w:rPr>
          <w:rFonts w:ascii="Palatino Linotype" w:hAnsi="Palatino Linotype" w:cs="Arial"/>
          <w:sz w:val="24"/>
          <w:szCs w:val="24"/>
        </w:rPr>
      </w:pPr>
      <w:r w:rsidRPr="0068615F">
        <w:rPr>
          <w:rFonts w:ascii="Palatino Linotype" w:hAnsi="Palatino Linotype" w:cs="Arial"/>
          <w:sz w:val="24"/>
          <w:szCs w:val="24"/>
        </w:rPr>
        <w:lastRenderedPageBreak/>
        <w:t xml:space="preserve">Si bien es de destacar, pese a la omisión de </w:t>
      </w:r>
      <w:r w:rsidR="00242F86" w:rsidRPr="0068615F">
        <w:rPr>
          <w:rFonts w:ascii="Palatino Linotype" w:hAnsi="Palatino Linotype" w:cs="Arial"/>
          <w:sz w:val="24"/>
          <w:szCs w:val="24"/>
        </w:rPr>
        <w:t>pronunciarse de forma genérica de</w:t>
      </w:r>
      <w:r w:rsidR="00261774" w:rsidRPr="0068615F">
        <w:rPr>
          <w:rFonts w:ascii="Palatino Linotype" w:hAnsi="Palatino Linotype" w:cs="Arial"/>
          <w:sz w:val="24"/>
          <w:szCs w:val="24"/>
        </w:rPr>
        <w:t xml:space="preserve"> </w:t>
      </w:r>
      <w:r w:rsidRPr="0068615F">
        <w:rPr>
          <w:rFonts w:ascii="Palatino Linotype" w:hAnsi="Palatino Linotype" w:cs="Arial"/>
          <w:sz w:val="24"/>
          <w:szCs w:val="24"/>
        </w:rPr>
        <w:t xml:space="preserve">la información </w:t>
      </w:r>
      <w:r w:rsidR="00696770" w:rsidRPr="0068615F">
        <w:rPr>
          <w:rFonts w:ascii="Palatino Linotype" w:hAnsi="Palatino Linotype" w:cs="Arial"/>
          <w:sz w:val="24"/>
          <w:szCs w:val="24"/>
        </w:rPr>
        <w:t>entregada</w:t>
      </w:r>
      <w:r w:rsidR="004A4132" w:rsidRPr="0068615F">
        <w:rPr>
          <w:rFonts w:ascii="Palatino Linotype" w:hAnsi="Palatino Linotype" w:cs="Arial"/>
          <w:sz w:val="24"/>
          <w:szCs w:val="24"/>
        </w:rPr>
        <w:t xml:space="preserve"> por parte del Sujeto Obligado</w:t>
      </w:r>
      <w:r w:rsidRPr="0068615F">
        <w:rPr>
          <w:rFonts w:ascii="Palatino Linotype" w:hAnsi="Palatino Linotype" w:cs="Arial"/>
          <w:sz w:val="24"/>
          <w:szCs w:val="24"/>
        </w:rPr>
        <w:t>, fueron invocados los llamados actos consentidos, lo cual considero son innecesarios en el presente caso y además no ha lugar a invocarlos en el derecho humano fundamental de acceder a la información pública gubernamental.</w:t>
      </w:r>
      <w:r w:rsidRPr="0068615F">
        <w:rPr>
          <w:rFonts w:ascii="Palatino Linotype" w:eastAsia="Calibri" w:hAnsi="Palatino Linotype" w:cs="Times New Roman"/>
          <w:sz w:val="24"/>
          <w:szCs w:val="24"/>
          <w:lang w:val="es-ES" w:eastAsia="es-ES"/>
        </w:rPr>
        <w:t xml:space="preserve"> Por lo que la mayoría consideró que la respuesta quedara firme ante la falta de impugnación a ese aspecto específico dentro del recurso de revisión. Asimismo, es de señalar que del análisis realizado, no se discute que el </w:t>
      </w:r>
      <w:r w:rsidR="004A4132" w:rsidRPr="0068615F">
        <w:rPr>
          <w:rFonts w:ascii="Palatino Linotype" w:eastAsia="Calibri" w:hAnsi="Palatino Linotype" w:cs="Times New Roman"/>
          <w:sz w:val="24"/>
          <w:szCs w:val="24"/>
          <w:lang w:val="es-ES" w:eastAsia="es-ES"/>
        </w:rPr>
        <w:t xml:space="preserve">Sujeto Obligado </w:t>
      </w:r>
      <w:r w:rsidRPr="0068615F">
        <w:rPr>
          <w:rFonts w:ascii="Palatino Linotype" w:eastAsia="Calibri" w:hAnsi="Palatino Linotype" w:cs="Times New Roman"/>
          <w:sz w:val="24"/>
          <w:szCs w:val="24"/>
          <w:lang w:val="es-ES" w:eastAsia="es-ES"/>
        </w:rPr>
        <w:t xml:space="preserve">haya dado respuesta en los términos requeridos por </w:t>
      </w:r>
      <w:r w:rsidR="004C2C9C" w:rsidRPr="0068615F">
        <w:rPr>
          <w:rFonts w:ascii="Palatino Linotype" w:eastAsia="Calibri" w:hAnsi="Palatino Linotype" w:cs="Times New Roman"/>
          <w:sz w:val="24"/>
          <w:szCs w:val="24"/>
          <w:lang w:val="es-ES" w:eastAsia="es-ES"/>
        </w:rPr>
        <w:t>el particular</w:t>
      </w:r>
      <w:r w:rsidRPr="0068615F">
        <w:rPr>
          <w:rFonts w:ascii="Palatino Linotype" w:eastAsia="Calibri" w:hAnsi="Palatino Linotype" w:cs="Times New Roman"/>
          <w:sz w:val="24"/>
          <w:szCs w:val="24"/>
          <w:lang w:val="es-ES" w:eastAsia="es-ES"/>
        </w:rPr>
        <w:t xml:space="preserve">, pues se considera, que al no pronunciarse en sus motivos de inconformidad respecto </w:t>
      </w:r>
      <w:r w:rsidRPr="0068615F">
        <w:rPr>
          <w:rFonts w:ascii="Palatino Linotype" w:hAnsi="Palatino Linotype" w:cs="Arial"/>
          <w:sz w:val="24"/>
          <w:szCs w:val="24"/>
        </w:rPr>
        <w:t xml:space="preserve">a </w:t>
      </w:r>
      <w:r w:rsidR="001A5EEA" w:rsidRPr="0068615F">
        <w:rPr>
          <w:rFonts w:ascii="Palatino Linotype" w:hAnsi="Palatino Linotype" w:cs="Arial"/>
          <w:sz w:val="24"/>
          <w:szCs w:val="24"/>
        </w:rPr>
        <w:t>la información de referencia</w:t>
      </w:r>
      <w:r w:rsidRPr="0068615F">
        <w:rPr>
          <w:rFonts w:ascii="Palatino Linotype" w:eastAsia="Calibri" w:hAnsi="Palatino Linotype" w:cs="Times New Roman"/>
          <w:sz w:val="24"/>
          <w:szCs w:val="24"/>
          <w:lang w:val="es-ES" w:eastAsia="es-ES"/>
        </w:rPr>
        <w:t xml:space="preserve">, la ponencia resolutora estime que dadas las </w:t>
      </w:r>
      <w:r w:rsidRPr="0068615F">
        <w:rPr>
          <w:rFonts w:ascii="Palatino Linotype" w:hAnsi="Palatino Linotype" w:cs="Arial"/>
          <w:sz w:val="24"/>
        </w:rPr>
        <w:t xml:space="preserve">razones o motivos de inconformidad esgrimidas por </w:t>
      </w:r>
      <w:r w:rsidR="00242F86" w:rsidRPr="0068615F">
        <w:rPr>
          <w:rFonts w:ascii="Palatino Linotype" w:eastAsia="Calibri" w:hAnsi="Palatino Linotype" w:cs="Times New Roman"/>
          <w:sz w:val="24"/>
          <w:szCs w:val="24"/>
          <w:lang w:val="es-ES" w:eastAsia="es-ES"/>
        </w:rPr>
        <w:t>el particular</w:t>
      </w:r>
      <w:r w:rsidRPr="0068615F">
        <w:rPr>
          <w:rFonts w:ascii="Palatino Linotype" w:eastAsia="Calibri" w:hAnsi="Palatino Linotype" w:cs="Times New Roman"/>
          <w:b/>
          <w:sz w:val="24"/>
          <w:szCs w:val="24"/>
          <w:lang w:val="es-ES" w:eastAsia="es-ES"/>
        </w:rPr>
        <w:t xml:space="preserve"> </w:t>
      </w:r>
      <w:r w:rsidR="00261774" w:rsidRPr="0068615F">
        <w:rPr>
          <w:rFonts w:ascii="Palatino Linotype" w:hAnsi="Palatino Linotype" w:cs="Arial"/>
          <w:sz w:val="24"/>
        </w:rPr>
        <w:t>este</w:t>
      </w:r>
      <w:r w:rsidRPr="0068615F">
        <w:rPr>
          <w:rFonts w:ascii="Palatino Linotype" w:hAnsi="Palatino Linotype" w:cs="Arial"/>
          <w:sz w:val="24"/>
        </w:rPr>
        <w:t xml:space="preserve"> </w:t>
      </w:r>
      <w:r w:rsidRPr="0068615F">
        <w:rPr>
          <w:rFonts w:ascii="Palatino Linotype" w:hAnsi="Palatino Linotype"/>
          <w:color w:val="000000" w:themeColor="text1"/>
          <w:sz w:val="24"/>
          <w:szCs w:val="24"/>
        </w:rPr>
        <w:t>se encuentra conforme con la documentación que le fue entregada</w:t>
      </w:r>
      <w:r w:rsidRPr="0068615F">
        <w:rPr>
          <w:rFonts w:ascii="Palatino Linotype" w:hAnsi="Palatino Linotype" w:cs="Arial"/>
          <w:sz w:val="24"/>
          <w:szCs w:val="24"/>
        </w:rPr>
        <w:t>,</w:t>
      </w:r>
      <w:r w:rsidRPr="0068615F">
        <w:rPr>
          <w:rFonts w:ascii="Palatino Linotype" w:eastAsia="Calibri" w:hAnsi="Palatino Linotype" w:cs="Times New Roman"/>
          <w:sz w:val="24"/>
          <w:szCs w:val="24"/>
          <w:lang w:val="es-ES" w:eastAsia="es-ES"/>
        </w:rPr>
        <w:t xml:space="preserve"> </w:t>
      </w:r>
      <w:r w:rsidRPr="0068615F">
        <w:rPr>
          <w:rFonts w:ascii="Palatino Linotype" w:hAnsi="Palatino Linotype" w:cs="Arial"/>
          <w:sz w:val="24"/>
          <w:szCs w:val="24"/>
        </w:rPr>
        <w:t>pues como ya se mencionó, se alega que l</w:t>
      </w:r>
      <w:r w:rsidR="004A4132" w:rsidRPr="0068615F">
        <w:rPr>
          <w:rFonts w:ascii="Palatino Linotype" w:hAnsi="Palatino Linotype" w:cs="Arial"/>
          <w:sz w:val="24"/>
          <w:szCs w:val="24"/>
        </w:rPr>
        <w:t>a</w:t>
      </w:r>
      <w:r w:rsidRPr="0068615F">
        <w:rPr>
          <w:rFonts w:ascii="Palatino Linotype" w:hAnsi="Palatino Linotype" w:cs="Arial"/>
          <w:sz w:val="24"/>
          <w:szCs w:val="24"/>
        </w:rPr>
        <w:t xml:space="preserve"> ahora recurrente, no</w:t>
      </w:r>
      <w:r w:rsidRPr="0068615F">
        <w:rPr>
          <w:rFonts w:ascii="Palatino Linotype" w:hAnsi="Palatino Linotype"/>
          <w:color w:val="000000" w:themeColor="text1"/>
          <w:sz w:val="24"/>
          <w:szCs w:val="24"/>
        </w:rPr>
        <w:t xml:space="preserve"> realizó manifestaciones de inconformidad a </w:t>
      </w:r>
      <w:r w:rsidR="00637DAB" w:rsidRPr="0068615F">
        <w:rPr>
          <w:rFonts w:ascii="Palatino Linotype" w:hAnsi="Palatino Linotype"/>
          <w:color w:val="000000" w:themeColor="text1"/>
          <w:sz w:val="24"/>
          <w:szCs w:val="24"/>
        </w:rPr>
        <w:t>la información específica</w:t>
      </w:r>
      <w:r w:rsidRPr="0068615F">
        <w:rPr>
          <w:rFonts w:ascii="Palatino Linotype" w:hAnsi="Palatino Linotype" w:cs="Arial"/>
          <w:sz w:val="24"/>
          <w:szCs w:val="24"/>
        </w:rPr>
        <w:t>.</w:t>
      </w:r>
    </w:p>
    <w:p w:rsidR="009979C7" w:rsidRPr="0068615F" w:rsidRDefault="009979C7" w:rsidP="009979C7">
      <w:pPr>
        <w:pStyle w:val="Prrafodelista"/>
        <w:tabs>
          <w:tab w:val="left" w:pos="284"/>
        </w:tabs>
        <w:spacing w:after="0" w:line="360" w:lineRule="auto"/>
        <w:ind w:left="360"/>
        <w:jc w:val="both"/>
        <w:rPr>
          <w:rFonts w:ascii="Palatino Linotype" w:hAnsi="Palatino Linotype" w:cs="Arial"/>
          <w:sz w:val="24"/>
          <w:szCs w:val="24"/>
        </w:rPr>
      </w:pPr>
    </w:p>
    <w:p w:rsidR="005F11DB" w:rsidRPr="0068615F" w:rsidRDefault="005F11DB" w:rsidP="00242F86">
      <w:pPr>
        <w:pStyle w:val="Ttulo1"/>
        <w:numPr>
          <w:ilvl w:val="0"/>
          <w:numId w:val="13"/>
        </w:numPr>
        <w:ind w:hanging="153"/>
        <w:rPr>
          <w:rFonts w:ascii="Palatino Linotype" w:hAnsi="Palatino Linotype"/>
          <w:b/>
          <w:color w:val="000000" w:themeColor="text1"/>
          <w:sz w:val="24"/>
          <w:szCs w:val="24"/>
        </w:rPr>
      </w:pPr>
      <w:bookmarkStart w:id="2" w:name="_Toc482005021"/>
      <w:r w:rsidRPr="0068615F">
        <w:rPr>
          <w:rFonts w:ascii="Palatino Linotype" w:hAnsi="Palatino Linotype"/>
          <w:b/>
          <w:color w:val="000000" w:themeColor="text1"/>
          <w:sz w:val="24"/>
          <w:szCs w:val="24"/>
        </w:rPr>
        <w:t>Los actos consentidos no deben invocarse en el derecho fundamental de acceder a la información pública gubernamental.</w:t>
      </w:r>
      <w:bookmarkEnd w:id="2"/>
    </w:p>
    <w:p w:rsidR="005F11DB" w:rsidRPr="0068615F" w:rsidRDefault="005F11DB" w:rsidP="005F11DB">
      <w:pPr>
        <w:pStyle w:val="Prrafodelista"/>
        <w:spacing w:after="0" w:line="360" w:lineRule="auto"/>
        <w:ind w:left="1080"/>
        <w:jc w:val="both"/>
        <w:rPr>
          <w:rFonts w:ascii="Palatino Linotype" w:hAnsi="Palatino Linotype" w:cs="Arial"/>
          <w:b/>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w:t>
      </w:r>
      <w:r w:rsidRPr="0068615F">
        <w:rPr>
          <w:rFonts w:ascii="Palatino Linotype" w:hAnsi="Palatino Linotype" w:cs="Arial"/>
          <w:sz w:val="24"/>
          <w:szCs w:val="24"/>
        </w:rPr>
        <w:lastRenderedPageBreak/>
        <w:t xml:space="preserve">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8615F">
        <w:rPr>
          <w:rFonts w:ascii="Palatino Linotype" w:hAnsi="Palatino Linotype" w:cs="Arial"/>
          <w:b/>
          <w:sz w:val="24"/>
          <w:szCs w:val="24"/>
        </w:rPr>
        <w:t>acudir a un profesionista del derecho</w:t>
      </w:r>
      <w:r w:rsidRPr="0068615F">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w:t>
      </w:r>
      <w:r w:rsidRPr="0068615F">
        <w:rPr>
          <w:rFonts w:ascii="Palatino Linotype" w:hAnsi="Palatino Linotype" w:cs="Arial"/>
          <w:sz w:val="24"/>
          <w:szCs w:val="24"/>
        </w:rPr>
        <w:lastRenderedPageBreak/>
        <w:t>medios de prueba”.</w:t>
      </w:r>
      <w:r w:rsidRPr="0068615F">
        <w:rPr>
          <w:rStyle w:val="Refdenotaalpie"/>
          <w:rFonts w:ascii="Palatino Linotype" w:hAnsi="Palatino Linotype" w:cs="Arial"/>
          <w:sz w:val="24"/>
          <w:szCs w:val="24"/>
        </w:rPr>
        <w:footnoteReference w:id="1"/>
      </w:r>
      <w:r w:rsidRPr="0068615F">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8615F">
        <w:rPr>
          <w:rStyle w:val="Refdenotaalpie"/>
          <w:rFonts w:ascii="Palatino Linotype" w:hAnsi="Palatino Linotype" w:cs="Arial"/>
          <w:sz w:val="24"/>
          <w:szCs w:val="24"/>
        </w:rPr>
        <w:footnoteReference w:id="2"/>
      </w:r>
      <w:r w:rsidRPr="0068615F">
        <w:rPr>
          <w:rFonts w:ascii="Palatino Linotype" w:hAnsi="Palatino Linotype" w:cs="Arial"/>
          <w:sz w:val="24"/>
          <w:szCs w:val="24"/>
        </w:rPr>
        <w:t xml:space="preserve"> </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F11DB" w:rsidRPr="0068615F" w:rsidRDefault="005F11DB" w:rsidP="005F11DB">
      <w:pPr>
        <w:spacing w:after="0"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8615F">
        <w:rPr>
          <w:rFonts w:ascii="Palatino Linotype" w:hAnsi="Palatino Linotype" w:cs="Arial"/>
          <w:b/>
          <w:sz w:val="24"/>
          <w:szCs w:val="24"/>
        </w:rPr>
        <w:t>garantía de los derechos humanos</w:t>
      </w:r>
      <w:r w:rsidRPr="0068615F">
        <w:rPr>
          <w:rFonts w:ascii="Palatino Linotype" w:hAnsi="Palatino Linotype" w:cs="Arial"/>
          <w:sz w:val="24"/>
          <w:szCs w:val="24"/>
        </w:rPr>
        <w:t xml:space="preserve">, de tal forma que cualquier esfuerzo que se haga en el sentido de cumplir con dicho mandato no </w:t>
      </w:r>
      <w:r w:rsidRPr="0068615F">
        <w:rPr>
          <w:rFonts w:ascii="Palatino Linotype" w:hAnsi="Palatino Linotype" w:cs="Arial"/>
          <w:sz w:val="24"/>
          <w:szCs w:val="24"/>
        </w:rPr>
        <w:lastRenderedPageBreak/>
        <w:t>resulta ocioso ni sobra sino demuestra el grado de compromiso de la autoridad con este aspecto toral de la reforma constitucional del 10 de junio de 2011.</w:t>
      </w:r>
    </w:p>
    <w:p w:rsidR="005F11DB" w:rsidRPr="0068615F" w:rsidRDefault="005F11DB" w:rsidP="005F11DB">
      <w:pPr>
        <w:spacing w:after="0"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En este sentido el Dr. Miguel Carbonell ha señalado que:</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8615F">
        <w:rPr>
          <w:rFonts w:ascii="Palatino Linotype" w:hAnsi="Palatino Linotype" w:cs="Arial"/>
          <w:b/>
          <w:sz w:val="24"/>
          <w:szCs w:val="24"/>
        </w:rPr>
        <w:t>considerando que algún nivel de gobierno tenga obligaciones reforzadas hacia ciertos derechos.</w:t>
      </w:r>
      <w:r w:rsidRPr="0068615F">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68615F">
        <w:rPr>
          <w:rFonts w:ascii="Palatino Linotype" w:hAnsi="Palatino Linotype" w:cs="Arial"/>
          <w:b/>
          <w:sz w:val="24"/>
          <w:szCs w:val="24"/>
        </w:rPr>
        <w:t>tomar todas las medidas que sean pertinentes para tutelar y hacer eficaz un derecho</w:t>
      </w:r>
      <w:r w:rsidRPr="0068615F">
        <w:rPr>
          <w:rFonts w:ascii="Palatino Linotype" w:hAnsi="Palatino Linotype" w:cs="Arial"/>
          <w:sz w:val="24"/>
          <w:szCs w:val="24"/>
        </w:rPr>
        <w:t>”.</w:t>
      </w:r>
      <w:r w:rsidRPr="0068615F">
        <w:rPr>
          <w:rStyle w:val="Refdenotaalpie"/>
          <w:rFonts w:ascii="Palatino Linotype" w:hAnsi="Palatino Linotype" w:cs="Arial"/>
          <w:sz w:val="24"/>
          <w:szCs w:val="24"/>
        </w:rPr>
        <w:footnoteReference w:id="3"/>
      </w:r>
    </w:p>
    <w:p w:rsidR="009979C7" w:rsidRPr="0068615F" w:rsidRDefault="009979C7"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cs="Arial"/>
          <w:sz w:val="24"/>
          <w:szCs w:val="24"/>
        </w:rPr>
        <w:t xml:space="preserve"> Por lo que restringir el derecho de acceso a la información pública del particular</w:t>
      </w:r>
      <w:r w:rsidRPr="0068615F">
        <w:rPr>
          <w:rFonts w:ascii="Palatino Linotype" w:hAnsi="Palatino Linotype" w:cs="Arial"/>
          <w:b/>
          <w:sz w:val="24"/>
          <w:szCs w:val="24"/>
        </w:rPr>
        <w:t xml:space="preserve"> </w:t>
      </w:r>
      <w:r w:rsidRPr="0068615F">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5F11DB" w:rsidRPr="0068615F" w:rsidRDefault="005F11DB" w:rsidP="005F11DB">
      <w:pPr>
        <w:pStyle w:val="Prrafodelista"/>
        <w:spacing w:after="0"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cs="Arial"/>
          <w:sz w:val="24"/>
          <w:szCs w:val="24"/>
        </w:rPr>
        <w:lastRenderedPageBreak/>
        <w:t xml:space="preserve"> Enfrentar este silencio  u omisión de los particulares a inconformarse por algún punto o requerimiento de origen solicitado, cuando es evidente que no le fue entregada la información o satisfizo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68615F">
        <w:rPr>
          <w:rStyle w:val="Refdenotaalpie"/>
          <w:rFonts w:ascii="Palatino Linotype" w:hAnsi="Palatino Linotype" w:cs="Arial"/>
          <w:sz w:val="24"/>
          <w:szCs w:val="24"/>
        </w:rPr>
        <w:footnoteReference w:id="4"/>
      </w:r>
      <w:r w:rsidRPr="0068615F">
        <w:rPr>
          <w:rFonts w:ascii="Palatino Linotype" w:hAnsi="Palatino Linotype" w:cs="Arial"/>
          <w:sz w:val="24"/>
          <w:szCs w:val="24"/>
        </w:rPr>
        <w:t xml:space="preserve"> y no puede existir validez en la aplicación de un </w:t>
      </w:r>
      <w:r w:rsidRPr="0068615F">
        <w:rPr>
          <w:rFonts w:ascii="Palatino Linotype" w:hAnsi="Palatino Linotype" w:cs="Arial"/>
          <w:sz w:val="24"/>
          <w:szCs w:val="24"/>
        </w:rPr>
        <w:lastRenderedPageBreak/>
        <w:t>criterio que propicia una riesgosa afectación al derecho de acceso a la información.</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68615F">
        <w:rPr>
          <w:rFonts w:ascii="Palatino Linotype" w:hAnsi="Palatino Linotype" w:cs="Arial"/>
          <w:b/>
          <w:sz w:val="24"/>
          <w:szCs w:val="24"/>
        </w:rPr>
        <w:t>el deber que tienen los órganos del Estado, dentro del margen de sus atribuciones, de prevenir violaciones a los derechos fundamentales,</w:t>
      </w:r>
      <w:r w:rsidRPr="0068615F">
        <w:rPr>
          <w:rFonts w:ascii="Palatino Linotype" w:hAnsi="Palatino Linotype" w:cs="Arial"/>
          <w:sz w:val="24"/>
          <w:szCs w:val="24"/>
        </w:rPr>
        <w:t xml:space="preserve"> ya sea que provengan de una autoridad o de algún particular y, por ello, </w:t>
      </w:r>
      <w:r w:rsidRPr="0068615F">
        <w:rPr>
          <w:rFonts w:ascii="Palatino Linotype" w:hAnsi="Palatino Linotype" w:cs="Arial"/>
          <w:b/>
          <w:sz w:val="24"/>
          <w:szCs w:val="24"/>
        </w:rPr>
        <w:t>debe contarse</w:t>
      </w:r>
      <w:r w:rsidRPr="0068615F">
        <w:rPr>
          <w:rFonts w:ascii="Palatino Linotype" w:hAnsi="Palatino Linotype" w:cs="Arial"/>
          <w:sz w:val="24"/>
          <w:szCs w:val="24"/>
        </w:rPr>
        <w:t xml:space="preserve"> tanto </w:t>
      </w:r>
      <w:r w:rsidRPr="0068615F">
        <w:rPr>
          <w:rFonts w:ascii="Palatino Linotype" w:hAnsi="Palatino Linotype" w:cs="Arial"/>
          <w:b/>
          <w:sz w:val="24"/>
          <w:szCs w:val="24"/>
        </w:rPr>
        <w:t>con mecanismos</w:t>
      </w:r>
      <w:r w:rsidRPr="0068615F">
        <w:rPr>
          <w:rFonts w:ascii="Palatino Linotype" w:hAnsi="Palatino Linotype" w:cs="Arial"/>
          <w:sz w:val="24"/>
          <w:szCs w:val="24"/>
        </w:rPr>
        <w:t xml:space="preserve"> de vigilancia como </w:t>
      </w:r>
      <w:r w:rsidRPr="0068615F">
        <w:rPr>
          <w:rFonts w:ascii="Palatino Linotype" w:hAnsi="Palatino Linotype" w:cs="Arial"/>
          <w:b/>
          <w:sz w:val="24"/>
          <w:szCs w:val="24"/>
        </w:rPr>
        <w:t xml:space="preserve">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w:t>
      </w:r>
      <w:r w:rsidRPr="0068615F">
        <w:rPr>
          <w:rFonts w:ascii="Palatino Linotype" w:hAnsi="Palatino Linotype" w:cs="Arial"/>
          <w:b/>
          <w:sz w:val="24"/>
          <w:szCs w:val="24"/>
        </w:rPr>
        <w:lastRenderedPageBreak/>
        <w:t>agentes del Estado</w:t>
      </w:r>
      <w:r w:rsidRPr="0068615F">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A4132" w:rsidRPr="0068615F" w:rsidRDefault="004A4132" w:rsidP="004A4132">
      <w:pPr>
        <w:pStyle w:val="Prrafodelista"/>
        <w:spacing w:after="0" w:line="360" w:lineRule="auto"/>
        <w:ind w:left="426"/>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jc w:val="both"/>
        <w:rPr>
          <w:rFonts w:ascii="Palatino Linotype" w:hAnsi="Palatino Linotype" w:cs="Arial"/>
          <w:sz w:val="24"/>
          <w:szCs w:val="24"/>
        </w:rPr>
      </w:pPr>
      <w:r w:rsidRPr="0068615F">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68615F">
        <w:rPr>
          <w:rFonts w:ascii="Palatino Linotype" w:hAnsi="Palatino Linotype" w:cs="Arial"/>
          <w:b/>
          <w:sz w:val="24"/>
          <w:szCs w:val="24"/>
        </w:rPr>
        <w:t>SUJETOS OBLIGADOS</w:t>
      </w:r>
      <w:r w:rsidRPr="0068615F">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w:t>
      </w:r>
      <w:r w:rsidRPr="0068615F">
        <w:rPr>
          <w:rFonts w:ascii="Palatino Linotype" w:hAnsi="Palatino Linotype" w:cs="Arial"/>
          <w:sz w:val="24"/>
          <w:szCs w:val="24"/>
        </w:rPr>
        <w:lastRenderedPageBreak/>
        <w:t>de acceso a la información y que además se encuentra disponible para ser operado por esta autoridad.</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5F11DB">
      <w:pPr>
        <w:pStyle w:val="Prrafodelista"/>
        <w:numPr>
          <w:ilvl w:val="0"/>
          <w:numId w:val="8"/>
        </w:numPr>
        <w:spacing w:after="0" w:line="360" w:lineRule="auto"/>
        <w:ind w:left="284"/>
        <w:jc w:val="both"/>
        <w:rPr>
          <w:rFonts w:ascii="Palatino Linotype" w:hAnsi="Palatino Linotype" w:cs="Arial"/>
          <w:sz w:val="24"/>
          <w:szCs w:val="24"/>
        </w:rPr>
      </w:pPr>
      <w:r w:rsidRPr="0068615F">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5F11DB" w:rsidRPr="0068615F" w:rsidRDefault="005F11DB" w:rsidP="005F11DB">
      <w:pPr>
        <w:spacing w:after="0" w:line="360" w:lineRule="auto"/>
        <w:ind w:left="1134" w:right="616"/>
        <w:jc w:val="both"/>
        <w:rPr>
          <w:rFonts w:ascii="Palatino Linotype" w:hAnsi="Palatino Linotype" w:cs="Arial"/>
          <w:i/>
          <w:sz w:val="24"/>
          <w:szCs w:val="24"/>
        </w:rPr>
      </w:pPr>
    </w:p>
    <w:p w:rsidR="005F11DB" w:rsidRPr="0068615F" w:rsidRDefault="005F11DB" w:rsidP="005F11DB">
      <w:pPr>
        <w:spacing w:after="0" w:line="360" w:lineRule="auto"/>
        <w:ind w:left="1134" w:right="616"/>
        <w:jc w:val="both"/>
        <w:rPr>
          <w:rFonts w:ascii="Palatino Linotype" w:hAnsi="Palatino Linotype" w:cs="Arial"/>
          <w:i/>
          <w:sz w:val="24"/>
          <w:szCs w:val="24"/>
        </w:rPr>
      </w:pPr>
      <w:r w:rsidRPr="0068615F">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68615F">
        <w:rPr>
          <w:rStyle w:val="Refdenotaalpie"/>
          <w:rFonts w:ascii="Palatino Linotype" w:hAnsi="Palatino Linotype" w:cs="Arial"/>
          <w:i/>
          <w:sz w:val="24"/>
          <w:szCs w:val="24"/>
        </w:rPr>
        <w:footnoteReference w:id="5"/>
      </w:r>
    </w:p>
    <w:p w:rsidR="00261774" w:rsidRPr="0068615F" w:rsidRDefault="00261774" w:rsidP="005F11DB">
      <w:pPr>
        <w:spacing w:after="0" w:line="360" w:lineRule="auto"/>
        <w:ind w:left="1134" w:right="616"/>
        <w:jc w:val="both"/>
        <w:rPr>
          <w:rFonts w:ascii="Palatino Linotype" w:hAnsi="Palatino Linotype" w:cs="Arial"/>
          <w:i/>
          <w:sz w:val="24"/>
          <w:szCs w:val="24"/>
        </w:rPr>
      </w:pPr>
    </w:p>
    <w:p w:rsidR="005F11DB" w:rsidRPr="0068615F"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 Por lo tanto, frente a ese derecho más alto, los argumentos formales deben ser derrotados por la obligación que el legislador ordinario nos ha impuesto para </w:t>
      </w:r>
      <w:r w:rsidRPr="0068615F">
        <w:rPr>
          <w:rFonts w:ascii="Palatino Linotype" w:hAnsi="Palatino Linotype" w:cs="Arial"/>
          <w:sz w:val="24"/>
          <w:szCs w:val="24"/>
        </w:rPr>
        <w:lastRenderedPageBreak/>
        <w:t>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5F11DB">
      <w:pPr>
        <w:pStyle w:val="Prrafodelista"/>
        <w:numPr>
          <w:ilvl w:val="0"/>
          <w:numId w:val="8"/>
        </w:numPr>
        <w:spacing w:line="360" w:lineRule="auto"/>
        <w:jc w:val="both"/>
        <w:rPr>
          <w:rFonts w:ascii="Palatino Linotype" w:hAnsi="Palatino Linotype" w:cs="Arial"/>
          <w:sz w:val="24"/>
          <w:szCs w:val="24"/>
        </w:rPr>
      </w:pPr>
      <w:r w:rsidRPr="0068615F">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w:t>
      </w:r>
      <w:r w:rsidR="00DA3358" w:rsidRPr="0068615F">
        <w:rPr>
          <w:rFonts w:ascii="Palatino Linotype" w:hAnsi="Palatino Linotype" w:cs="Arial"/>
          <w:sz w:val="24"/>
          <w:szCs w:val="24"/>
        </w:rPr>
        <w:t>la recurrente</w:t>
      </w:r>
      <w:r w:rsidRPr="0068615F">
        <w:rPr>
          <w:rFonts w:ascii="Palatino Linotype" w:hAnsi="Palatino Linotype" w:cs="Arial"/>
          <w:sz w:val="24"/>
          <w:szCs w:val="24"/>
        </w:rPr>
        <w:t xml:space="preserv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5F11DB" w:rsidRPr="0068615F" w:rsidRDefault="005F11DB" w:rsidP="0068615F">
      <w:pPr>
        <w:pStyle w:val="Prrafodelista"/>
        <w:numPr>
          <w:ilvl w:val="0"/>
          <w:numId w:val="8"/>
        </w:numPr>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lastRenderedPageBreak/>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1A5EEA" w:rsidRPr="0068615F" w:rsidRDefault="001A5EEA" w:rsidP="001A5EEA">
      <w:pPr>
        <w:pStyle w:val="Prrafodelista"/>
        <w:rPr>
          <w:rFonts w:ascii="Palatino Linotype" w:hAnsi="Palatino Linotype" w:cs="Arial"/>
          <w:sz w:val="18"/>
          <w:szCs w:val="24"/>
        </w:rPr>
      </w:pPr>
    </w:p>
    <w:p w:rsidR="00696770" w:rsidRPr="0068615F" w:rsidRDefault="00696770" w:rsidP="001A5EEA">
      <w:pPr>
        <w:pStyle w:val="Prrafodelista"/>
        <w:rPr>
          <w:rFonts w:ascii="Palatino Linotype" w:hAnsi="Palatino Linotype" w:cs="Arial"/>
          <w:sz w:val="18"/>
          <w:szCs w:val="24"/>
        </w:rPr>
      </w:pPr>
    </w:p>
    <w:p w:rsidR="001A5EEA" w:rsidRPr="0068615F" w:rsidRDefault="001A5EEA"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5F11DB" w:rsidRPr="0068615F" w:rsidRDefault="005F11DB" w:rsidP="005F11DB">
      <w:pPr>
        <w:pStyle w:val="Prrafodelista"/>
        <w:spacing w:line="360" w:lineRule="auto"/>
        <w:ind w:left="0"/>
        <w:jc w:val="center"/>
        <w:rPr>
          <w:rFonts w:ascii="Palatino Linotype" w:eastAsia="Calibri" w:hAnsi="Palatino Linotype" w:cs="Arial"/>
          <w:b/>
          <w:sz w:val="24"/>
          <w:szCs w:val="24"/>
        </w:rPr>
      </w:pPr>
      <w:r w:rsidRPr="0068615F">
        <w:rPr>
          <w:rFonts w:ascii="Palatino Linotype" w:eastAsia="Calibri" w:hAnsi="Palatino Linotype" w:cs="Arial"/>
          <w:b/>
          <w:sz w:val="24"/>
          <w:szCs w:val="24"/>
        </w:rPr>
        <w:t>JOSÉ GUADALUPE LUNA HERNÁNDEZ</w:t>
      </w:r>
    </w:p>
    <w:p w:rsidR="005F11DB" w:rsidRPr="0068615F" w:rsidRDefault="005F11DB" w:rsidP="005F11DB">
      <w:pPr>
        <w:pStyle w:val="Prrafodelista"/>
        <w:spacing w:line="360" w:lineRule="auto"/>
        <w:ind w:left="0"/>
        <w:jc w:val="center"/>
        <w:rPr>
          <w:rFonts w:ascii="Palatino Linotype" w:eastAsia="Calibri" w:hAnsi="Palatino Linotype" w:cs="Arial"/>
          <w:b/>
          <w:sz w:val="24"/>
          <w:szCs w:val="24"/>
        </w:rPr>
      </w:pPr>
      <w:r w:rsidRPr="0068615F">
        <w:rPr>
          <w:rFonts w:ascii="Palatino Linotype" w:eastAsia="Calibri" w:hAnsi="Palatino Linotype" w:cs="Arial"/>
          <w:b/>
          <w:sz w:val="24"/>
          <w:szCs w:val="24"/>
        </w:rPr>
        <w:t>COMISIONADO</w:t>
      </w:r>
    </w:p>
    <w:p w:rsidR="00696770" w:rsidRPr="0068615F" w:rsidRDefault="00696770" w:rsidP="00696770">
      <w:pPr>
        <w:pStyle w:val="Prrafodelista"/>
        <w:spacing w:line="360" w:lineRule="auto"/>
        <w:ind w:left="0"/>
        <w:rPr>
          <w:rFonts w:ascii="Palatino Linotype" w:eastAsia="Calibri" w:hAnsi="Palatino Linotype" w:cs="Arial"/>
          <w:b/>
          <w:sz w:val="24"/>
          <w:szCs w:val="24"/>
        </w:rPr>
      </w:pPr>
      <w:bookmarkStart w:id="3" w:name="_GoBack"/>
      <w:bookmarkEnd w:id="3"/>
    </w:p>
    <w:sectPr w:rsidR="00696770" w:rsidRPr="0068615F"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496" w:rsidRDefault="00274496" w:rsidP="00E82D3D">
      <w:pPr>
        <w:spacing w:after="0" w:line="240" w:lineRule="auto"/>
      </w:pPr>
      <w:r>
        <w:separator/>
      </w:r>
    </w:p>
  </w:endnote>
  <w:endnote w:type="continuationSeparator" w:id="0">
    <w:p w:rsidR="00274496" w:rsidRDefault="0027449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35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353B">
              <w:rPr>
                <w:b/>
                <w:bCs/>
                <w:noProof/>
              </w:rPr>
              <w:t>16</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496" w:rsidRDefault="00274496" w:rsidP="00E82D3D">
      <w:pPr>
        <w:spacing w:after="0" w:line="240" w:lineRule="auto"/>
      </w:pPr>
      <w:r>
        <w:separator/>
      </w:r>
    </w:p>
  </w:footnote>
  <w:footnote w:type="continuationSeparator" w:id="0">
    <w:p w:rsidR="00274496" w:rsidRDefault="00274496" w:rsidP="00E82D3D">
      <w:pPr>
        <w:spacing w:after="0" w:line="240" w:lineRule="auto"/>
      </w:pPr>
      <w:r>
        <w:continuationSeparator/>
      </w:r>
    </w:p>
  </w:footnote>
  <w:footnote w:id="1">
    <w:p w:rsidR="005F11DB" w:rsidRDefault="005F11DB" w:rsidP="005F11DB">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5F11DB" w:rsidRDefault="005F11DB" w:rsidP="005F11DB">
      <w:pPr>
        <w:pStyle w:val="Textonotapie"/>
      </w:pPr>
      <w:r>
        <w:rPr>
          <w:rStyle w:val="Refdenotaalpie"/>
        </w:rPr>
        <w:footnoteRef/>
      </w:r>
      <w:r>
        <w:t xml:space="preserve"> </w:t>
      </w:r>
      <w:r w:rsidRPr="00C775C0">
        <w:rPr>
          <w:i/>
        </w:rPr>
        <w:t>Ibídem</w:t>
      </w:r>
      <w:r>
        <w:t>. Pág. 3594.</w:t>
      </w:r>
    </w:p>
  </w:footnote>
  <w:footnote w:id="3">
    <w:p w:rsidR="005F11DB" w:rsidRPr="0068615F" w:rsidRDefault="005F11DB" w:rsidP="005F11DB">
      <w:pPr>
        <w:pStyle w:val="Textonotapie"/>
        <w:jc w:val="both"/>
        <w:rPr>
          <w:rFonts w:ascii="Palatino Linotype" w:hAnsi="Palatino Linotype"/>
        </w:rPr>
      </w:pPr>
      <w:r w:rsidRPr="0068615F">
        <w:rPr>
          <w:rStyle w:val="Refdenotaalpie"/>
          <w:rFonts w:ascii="Palatino Linotype" w:hAnsi="Palatino Linotype"/>
          <w:sz w:val="18"/>
        </w:rPr>
        <w:footnoteRef/>
      </w:r>
      <w:r w:rsidRPr="0068615F">
        <w:rPr>
          <w:rFonts w:ascii="Palatino Linotype" w:hAnsi="Palatino Linotype"/>
          <w:sz w:val="18"/>
        </w:rP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5F11DB" w:rsidRPr="0068615F" w:rsidRDefault="005F11DB" w:rsidP="005F11DB">
      <w:pPr>
        <w:pStyle w:val="Textonotapie"/>
        <w:rPr>
          <w:rFonts w:ascii="Palatino Linotype" w:hAnsi="Palatino Linotype"/>
        </w:rPr>
      </w:pPr>
      <w:r w:rsidRPr="0068615F">
        <w:rPr>
          <w:rStyle w:val="Refdenotaalpie"/>
          <w:rFonts w:ascii="Palatino Linotype" w:hAnsi="Palatino Linotype"/>
        </w:rPr>
        <w:footnoteRef/>
      </w:r>
      <w:r w:rsidRPr="0068615F">
        <w:rPr>
          <w:rFonts w:ascii="Palatino Linotype" w:hAnsi="Palatino Linotype"/>
        </w:rPr>
        <w:t xml:space="preserve"> COTTA, Sergio. </w:t>
      </w:r>
      <w:r w:rsidRPr="0068615F">
        <w:rPr>
          <w:rFonts w:ascii="Palatino Linotype" w:hAnsi="Palatino Linotype"/>
          <w:i/>
        </w:rPr>
        <w:t>Justificación y obligatoriedad de las normas.</w:t>
      </w:r>
      <w:r w:rsidRPr="0068615F">
        <w:rPr>
          <w:rFonts w:ascii="Palatino Linotype" w:hAnsi="Palatino Linotype"/>
        </w:rPr>
        <w:t xml:space="preserve"> Madrid. Ed. Ceura, 1987. Pág. 10.</w:t>
      </w:r>
    </w:p>
  </w:footnote>
  <w:footnote w:id="5">
    <w:p w:rsidR="005F11DB" w:rsidRDefault="005F11DB" w:rsidP="005F11DB">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7449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74496"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27449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E688771C"/>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57DB9"/>
    <w:multiLevelType w:val="hybridMultilevel"/>
    <w:tmpl w:val="18640776"/>
    <w:numStyleLink w:val="Estiloimportado2"/>
  </w:abstractNum>
  <w:abstractNum w:abstractNumId="11">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7"/>
  </w:num>
  <w:num w:numId="4">
    <w:abstractNumId w:val="12"/>
  </w:num>
  <w:num w:numId="5">
    <w:abstractNumId w:val="11"/>
  </w:num>
  <w:num w:numId="6">
    <w:abstractNumId w:val="1"/>
  </w:num>
  <w:num w:numId="7">
    <w:abstractNumId w:val="15"/>
  </w:num>
  <w:num w:numId="8">
    <w:abstractNumId w:val="8"/>
  </w:num>
  <w:num w:numId="9">
    <w:abstractNumId w:val="14"/>
  </w:num>
  <w:num w:numId="10">
    <w:abstractNumId w:val="4"/>
  </w:num>
  <w:num w:numId="11">
    <w:abstractNumId w:val="13"/>
  </w:num>
  <w:num w:numId="12">
    <w:abstractNumId w:val="9"/>
  </w:num>
  <w:num w:numId="13">
    <w:abstractNumId w:val="6"/>
  </w:num>
  <w:num w:numId="14">
    <w:abstractNumId w:val="0"/>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049E"/>
    <w:rsid w:val="00081B7A"/>
    <w:rsid w:val="00096CC2"/>
    <w:rsid w:val="000F0318"/>
    <w:rsid w:val="00102360"/>
    <w:rsid w:val="00117639"/>
    <w:rsid w:val="001240A5"/>
    <w:rsid w:val="001962BF"/>
    <w:rsid w:val="001A5EEA"/>
    <w:rsid w:val="001B19B4"/>
    <w:rsid w:val="00242F86"/>
    <w:rsid w:val="00261774"/>
    <w:rsid w:val="00274496"/>
    <w:rsid w:val="002C3A30"/>
    <w:rsid w:val="002E3ED2"/>
    <w:rsid w:val="002F79FF"/>
    <w:rsid w:val="003258B6"/>
    <w:rsid w:val="00364F8B"/>
    <w:rsid w:val="00384DBA"/>
    <w:rsid w:val="00435095"/>
    <w:rsid w:val="00445AC0"/>
    <w:rsid w:val="0048628E"/>
    <w:rsid w:val="004A4132"/>
    <w:rsid w:val="004C2C9C"/>
    <w:rsid w:val="004D746D"/>
    <w:rsid w:val="005358E1"/>
    <w:rsid w:val="005556CA"/>
    <w:rsid w:val="00574B46"/>
    <w:rsid w:val="005A662E"/>
    <w:rsid w:val="005F11DB"/>
    <w:rsid w:val="005F30BC"/>
    <w:rsid w:val="00617ACF"/>
    <w:rsid w:val="00637DAB"/>
    <w:rsid w:val="00650C05"/>
    <w:rsid w:val="00667BC5"/>
    <w:rsid w:val="0068615F"/>
    <w:rsid w:val="00696770"/>
    <w:rsid w:val="006C353B"/>
    <w:rsid w:val="006D7BCC"/>
    <w:rsid w:val="006F0A01"/>
    <w:rsid w:val="00756AED"/>
    <w:rsid w:val="0077436B"/>
    <w:rsid w:val="00797A31"/>
    <w:rsid w:val="007D037D"/>
    <w:rsid w:val="00807E40"/>
    <w:rsid w:val="00837109"/>
    <w:rsid w:val="00851877"/>
    <w:rsid w:val="008E349D"/>
    <w:rsid w:val="00902DAB"/>
    <w:rsid w:val="00905D9C"/>
    <w:rsid w:val="009175CF"/>
    <w:rsid w:val="009979C7"/>
    <w:rsid w:val="009A2D39"/>
    <w:rsid w:val="009E3210"/>
    <w:rsid w:val="00A44CEB"/>
    <w:rsid w:val="00A878C0"/>
    <w:rsid w:val="00AA6385"/>
    <w:rsid w:val="00AE09CF"/>
    <w:rsid w:val="00B378E9"/>
    <w:rsid w:val="00B9285A"/>
    <w:rsid w:val="00BB488C"/>
    <w:rsid w:val="00BC73AE"/>
    <w:rsid w:val="00C53D91"/>
    <w:rsid w:val="00C753D8"/>
    <w:rsid w:val="00C81948"/>
    <w:rsid w:val="00CA2B8E"/>
    <w:rsid w:val="00CC7CC1"/>
    <w:rsid w:val="00CF0462"/>
    <w:rsid w:val="00D037CB"/>
    <w:rsid w:val="00D63CE5"/>
    <w:rsid w:val="00D66E73"/>
    <w:rsid w:val="00DA3358"/>
    <w:rsid w:val="00DD14BB"/>
    <w:rsid w:val="00DE7A32"/>
    <w:rsid w:val="00E82D3D"/>
    <w:rsid w:val="00F30EE8"/>
    <w:rsid w:val="00F81422"/>
    <w:rsid w:val="00FA35A6"/>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6DF3-8253-442D-8063-2FFEA947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3183</Words>
  <Characters>17510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2019-01-21T21:32:00Z</cp:lastPrinted>
  <dcterms:created xsi:type="dcterms:W3CDTF">2019-01-22T01:05:00Z</dcterms:created>
  <dcterms:modified xsi:type="dcterms:W3CDTF">2019-01-22T01:05:00Z</dcterms:modified>
</cp:coreProperties>
</file>